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523C9" w14:textId="77777777" w:rsidR="00E307C7" w:rsidRPr="0018789F" w:rsidRDefault="00000000">
      <w:pPr>
        <w:spacing w:line="0" w:lineRule="atLeast"/>
        <w:jc w:val="left"/>
        <w:rPr>
          <w:rFonts w:ascii="Times New Roman" w:eastAsia="Segoe UI" w:hAnsi="Times New Roman" w:cs="Times New Roman"/>
          <w:b/>
          <w:bCs/>
          <w:i/>
          <w:iCs/>
          <w:color w:val="000000" w:themeColor="text1"/>
          <w:sz w:val="24"/>
          <w:lang w:val="ru-RU"/>
        </w:rPr>
      </w:pPr>
      <w:r w:rsidRPr="0018789F">
        <w:rPr>
          <w:rFonts w:ascii="Times New Roman" w:eastAsia="Segoe UI" w:hAnsi="Times New Roman" w:cs="Times New Roman"/>
          <w:b/>
          <w:bCs/>
          <w:color w:val="000000" w:themeColor="text1"/>
          <w:sz w:val="24"/>
          <w:lang w:val="ru-RU"/>
        </w:rPr>
        <w:t xml:space="preserve">Влияние токсических веществ (тяжелых металлов) на начальные этапы фотосинтеза пресноводных микроводорослей </w:t>
      </w:r>
      <w:r>
        <w:rPr>
          <w:rFonts w:ascii="Times New Roman" w:eastAsia="Segoe UI" w:hAnsi="Times New Roman" w:cs="Times New Roman"/>
          <w:b/>
          <w:bCs/>
          <w:i/>
          <w:iCs/>
          <w:color w:val="000000" w:themeColor="text1"/>
          <w:sz w:val="24"/>
        </w:rPr>
        <w:t>Scenedesmus</w:t>
      </w:r>
      <w:r w:rsidRPr="0018789F">
        <w:rPr>
          <w:rFonts w:ascii="Times New Roman" w:eastAsia="Segoe UI" w:hAnsi="Times New Roman" w:cs="Times New Roman"/>
          <w:b/>
          <w:bCs/>
          <w:i/>
          <w:iCs/>
          <w:color w:val="000000" w:themeColor="text1"/>
          <w:sz w:val="24"/>
          <w:lang w:val="ru-RU"/>
        </w:rPr>
        <w:t xml:space="preserve"> </w:t>
      </w:r>
      <w:proofErr w:type="spellStart"/>
      <w:r>
        <w:rPr>
          <w:rFonts w:ascii="Times New Roman" w:eastAsia="Segoe UI" w:hAnsi="Times New Roman" w:cs="Times New Roman"/>
          <w:b/>
          <w:bCs/>
          <w:i/>
          <w:iCs/>
          <w:color w:val="000000" w:themeColor="text1"/>
          <w:sz w:val="24"/>
        </w:rPr>
        <w:t>quadricauda</w:t>
      </w:r>
      <w:proofErr w:type="spellEnd"/>
    </w:p>
    <w:p w14:paraId="4E452CD5" w14:textId="77777777" w:rsidR="00E307C7" w:rsidRPr="0018789F" w:rsidRDefault="00000000">
      <w:pPr>
        <w:jc w:val="center"/>
        <w:rPr>
          <w:rFonts w:ascii="Times New Roman" w:eastAsia="Calibri" w:hAnsi="Times New Roman"/>
          <w:bCs/>
          <w:i/>
          <w:sz w:val="24"/>
          <w:lang w:val="ru-RU"/>
        </w:rPr>
      </w:pPr>
      <w:r>
        <w:rPr>
          <w:rFonts w:ascii="Times New Roman" w:eastAsia="Calibri" w:hAnsi="Times New Roman"/>
          <w:bCs/>
          <w:i/>
          <w:sz w:val="24"/>
          <w:lang w:val="ru-RU" w:eastAsia="ru-RU"/>
        </w:rPr>
        <w:t>Ху Синьжуй</w:t>
      </w:r>
      <w:r w:rsidRPr="0018789F">
        <w:rPr>
          <w:rFonts w:ascii="Times New Roman" w:eastAsia="SimSun" w:hAnsi="Times New Roman" w:hint="eastAsia"/>
          <w:bCs/>
          <w:i/>
          <w:sz w:val="24"/>
          <w:vertAlign w:val="superscript"/>
          <w:lang w:val="ru-RU"/>
        </w:rPr>
        <w:t>1</w:t>
      </w:r>
      <w:r w:rsidRPr="0018789F">
        <w:rPr>
          <w:rFonts w:ascii="Times New Roman" w:eastAsia="Calibri" w:hAnsi="Times New Roman" w:hint="eastAsia"/>
          <w:bCs/>
          <w:i/>
          <w:sz w:val="24"/>
          <w:lang w:val="ru-RU"/>
        </w:rPr>
        <w:t xml:space="preserve">, </w:t>
      </w:r>
      <w:r w:rsidRPr="0018789F">
        <w:rPr>
          <w:rFonts w:ascii="Times New Roman" w:eastAsia="Calibri" w:hAnsi="Times New Roman"/>
          <w:bCs/>
          <w:i/>
          <w:sz w:val="24"/>
          <w:lang w:val="ru-RU"/>
        </w:rPr>
        <w:t>Дин Фань</w:t>
      </w:r>
      <w:r w:rsidRPr="0018789F">
        <w:rPr>
          <w:rFonts w:ascii="Times New Roman" w:eastAsia="Calibri" w:hAnsi="Times New Roman" w:hint="eastAsia"/>
          <w:bCs/>
          <w:i/>
          <w:sz w:val="24"/>
          <w:vertAlign w:val="superscript"/>
          <w:lang w:val="ru-RU"/>
        </w:rPr>
        <w:t>1</w:t>
      </w:r>
      <w:r w:rsidRPr="0018789F">
        <w:rPr>
          <w:rFonts w:ascii="Times New Roman" w:eastAsia="Calibri" w:hAnsi="Times New Roman" w:hint="eastAsia"/>
          <w:bCs/>
          <w:i/>
          <w:sz w:val="24"/>
          <w:lang w:val="ru-RU"/>
        </w:rPr>
        <w:t xml:space="preserve">, </w:t>
      </w:r>
      <w:proofErr w:type="spellStart"/>
      <w:r w:rsidRPr="0018789F">
        <w:rPr>
          <w:rFonts w:ascii="Times New Roman" w:eastAsia="Calibri" w:hAnsi="Times New Roman"/>
          <w:bCs/>
          <w:i/>
          <w:sz w:val="24"/>
          <w:lang w:val="ru-RU"/>
        </w:rPr>
        <w:t>Пирутин</w:t>
      </w:r>
      <w:proofErr w:type="spellEnd"/>
      <w:r w:rsidRPr="0018789F">
        <w:rPr>
          <w:rFonts w:ascii="Times New Roman" w:eastAsia="Calibri" w:hAnsi="Times New Roman"/>
          <w:bCs/>
          <w:i/>
          <w:sz w:val="24"/>
          <w:lang w:val="ru-RU"/>
        </w:rPr>
        <w:t xml:space="preserve"> С.К.</w:t>
      </w:r>
      <w:r w:rsidRPr="0018789F">
        <w:rPr>
          <w:rFonts w:ascii="Times New Roman" w:eastAsia="Calibri" w:hAnsi="Times New Roman" w:hint="eastAsia"/>
          <w:bCs/>
          <w:i/>
          <w:sz w:val="24"/>
          <w:vertAlign w:val="superscript"/>
          <w:lang w:val="ru-RU"/>
        </w:rPr>
        <w:t>1,2</w:t>
      </w:r>
    </w:p>
    <w:p w14:paraId="501065DA" w14:textId="77777777" w:rsidR="00E307C7" w:rsidRDefault="00000000">
      <w:pPr>
        <w:jc w:val="center"/>
        <w:rPr>
          <w:rFonts w:ascii="Times New Roman" w:eastAsia="Calibri" w:hAnsi="Times New Roman"/>
          <w:bCs/>
          <w:i/>
          <w:sz w:val="24"/>
          <w:lang w:val="ru-RU" w:eastAsia="ru-RU"/>
        </w:rPr>
      </w:pPr>
      <w:r>
        <w:rPr>
          <w:rFonts w:ascii="Times New Roman" w:eastAsia="Calibri" w:hAnsi="Times New Roman"/>
          <w:bCs/>
          <w:i/>
          <w:sz w:val="24"/>
          <w:lang w:val="ru-RU" w:eastAsia="ru-RU"/>
        </w:rPr>
        <w:t>Студент, 4 курс бакалавриата</w:t>
      </w:r>
    </w:p>
    <w:p w14:paraId="6A0CE6F5" w14:textId="77777777" w:rsidR="00E307C7" w:rsidRDefault="00000000">
      <w:pPr>
        <w:jc w:val="center"/>
        <w:rPr>
          <w:rFonts w:ascii="Times New Roman" w:eastAsia="Calibri" w:hAnsi="Times New Roman"/>
          <w:bCs/>
          <w:i/>
          <w:sz w:val="24"/>
          <w:lang w:val="ru-RU" w:eastAsia="ru-RU"/>
        </w:rPr>
      </w:pPr>
      <w:r>
        <w:rPr>
          <w:rFonts w:ascii="Times New Roman" w:eastAsia="Calibri" w:hAnsi="Times New Roman"/>
          <w:bCs/>
          <w:i/>
          <w:sz w:val="24"/>
          <w:lang w:val="ru-RU" w:eastAsia="ru-RU"/>
        </w:rPr>
        <w:t>1МГУ-ППИ в Шэньчжэне</w:t>
      </w:r>
      <w:r>
        <w:rPr>
          <w:rFonts w:ascii="Times New Roman" w:eastAsia="Calibri" w:hAnsi="Times New Roman"/>
          <w:bCs/>
          <w:i/>
          <w:sz w:val="24"/>
          <w:lang w:val="ru-RU" w:eastAsia="ru-RU"/>
        </w:rPr>
        <w:br/>
        <w:t xml:space="preserve">2МГУ им. </w:t>
      </w:r>
      <w:proofErr w:type="gramStart"/>
      <w:r>
        <w:rPr>
          <w:rFonts w:ascii="Times New Roman" w:eastAsia="Calibri" w:hAnsi="Times New Roman"/>
          <w:bCs/>
          <w:i/>
          <w:sz w:val="24"/>
          <w:lang w:val="ru-RU" w:eastAsia="ru-RU"/>
        </w:rPr>
        <w:t>М.В.</w:t>
      </w:r>
      <w:proofErr w:type="gramEnd"/>
      <w:r>
        <w:rPr>
          <w:rFonts w:ascii="Times New Roman" w:eastAsia="Calibri" w:hAnsi="Times New Roman"/>
          <w:bCs/>
          <w:i/>
          <w:sz w:val="24"/>
          <w:lang w:val="ru-RU" w:eastAsia="ru-RU"/>
        </w:rPr>
        <w:t xml:space="preserve"> Ломоносова</w:t>
      </w:r>
    </w:p>
    <w:p w14:paraId="52DCF541" w14:textId="77777777" w:rsidR="00E307C7" w:rsidRDefault="00000000">
      <w:pPr>
        <w:jc w:val="center"/>
        <w:rPr>
          <w:rFonts w:ascii="Times New Roman" w:eastAsia="Calibri" w:hAnsi="Times New Roman"/>
          <w:bCs/>
          <w:i/>
          <w:sz w:val="24"/>
          <w:lang w:val="ru-RU" w:eastAsia="ru-RU"/>
        </w:rPr>
      </w:pPr>
      <w:r>
        <w:rPr>
          <w:rFonts w:ascii="Times New Roman" w:eastAsia="Calibri" w:hAnsi="Times New Roman"/>
          <w:bCs/>
          <w:i/>
          <w:sz w:val="24"/>
          <w:lang w:val="ru-RU" w:eastAsia="ru-RU"/>
        </w:rPr>
        <w:t>Биологический факультет, Шэньчжэнь, Китай</w:t>
      </w:r>
    </w:p>
    <w:p w14:paraId="45E2CA3F" w14:textId="77777777" w:rsidR="00E307C7" w:rsidRPr="0018789F" w:rsidRDefault="00000000">
      <w:pPr>
        <w:jc w:val="center"/>
        <w:rPr>
          <w:rFonts w:ascii="Times New Roman" w:eastAsia="Calibri" w:hAnsi="Times New Roman"/>
          <w:bCs/>
          <w:i/>
          <w:sz w:val="24"/>
          <w:u w:val="single"/>
          <w:lang w:val="ru-RU" w:eastAsia="ru-RU"/>
        </w:rPr>
      </w:pPr>
      <w:proofErr w:type="gramStart"/>
      <w:r>
        <w:rPr>
          <w:rFonts w:ascii="Times New Roman" w:eastAsia="Calibri" w:hAnsi="Times New Roman" w:hint="eastAsia"/>
          <w:bCs/>
          <w:i/>
          <w:sz w:val="24"/>
        </w:rPr>
        <w:t>E</w:t>
      </w:r>
      <w:r w:rsidRPr="0018789F">
        <w:rPr>
          <w:rFonts w:ascii="Times New Roman" w:eastAsia="Calibri" w:hAnsi="Times New Roman" w:hint="eastAsia"/>
          <w:bCs/>
          <w:i/>
          <w:sz w:val="24"/>
          <w:lang w:val="ru-RU"/>
        </w:rPr>
        <w:t>-</w:t>
      </w:r>
      <w:r>
        <w:rPr>
          <w:rFonts w:ascii="Times New Roman" w:eastAsia="Calibri" w:hAnsi="Times New Roman" w:hint="eastAsia"/>
          <w:bCs/>
          <w:i/>
          <w:sz w:val="24"/>
          <w:lang w:val="ru-RU" w:eastAsia="ru-RU"/>
        </w:rPr>
        <w:t>mail:</w:t>
      </w:r>
      <w:r w:rsidRPr="0018789F">
        <w:rPr>
          <w:rFonts w:ascii="Times New Roman" w:eastAsia="Calibri" w:hAnsi="Times New Roman" w:hint="eastAsia"/>
          <w:bCs/>
          <w:i/>
          <w:sz w:val="24"/>
          <w:u w:val="single"/>
          <w:lang w:val="ru-RU"/>
        </w:rPr>
        <w:t>1619167691</w:t>
      </w:r>
      <w:r>
        <w:rPr>
          <w:rFonts w:ascii="Times New Roman" w:eastAsia="Calibri" w:hAnsi="Times New Roman" w:hint="eastAsia"/>
          <w:bCs/>
          <w:i/>
          <w:sz w:val="24"/>
          <w:u w:val="single"/>
          <w:lang w:val="ru-RU" w:eastAsia="ru-RU"/>
        </w:rPr>
        <w:t>@</w:t>
      </w:r>
      <w:proofErr w:type="spellStart"/>
      <w:r>
        <w:rPr>
          <w:rFonts w:ascii="Times New Roman" w:eastAsia="Calibri" w:hAnsi="Times New Roman" w:hint="eastAsia"/>
          <w:bCs/>
          <w:i/>
          <w:sz w:val="24"/>
          <w:u w:val="single"/>
          <w:lang w:eastAsia="ru-RU"/>
        </w:rPr>
        <w:t>qq</w:t>
      </w:r>
      <w:proofErr w:type="spellEnd"/>
      <w:r>
        <w:rPr>
          <w:rFonts w:ascii="Times New Roman" w:eastAsia="Calibri" w:hAnsi="Times New Roman" w:hint="eastAsia"/>
          <w:bCs/>
          <w:i/>
          <w:sz w:val="24"/>
          <w:u w:val="single"/>
          <w:lang w:val="ru-RU" w:eastAsia="ru-RU"/>
        </w:rPr>
        <w:t>.</w:t>
      </w:r>
      <w:r>
        <w:rPr>
          <w:rFonts w:ascii="Times New Roman" w:eastAsia="Calibri" w:hAnsi="Times New Roman" w:hint="eastAsia"/>
          <w:bCs/>
          <w:i/>
          <w:sz w:val="24"/>
          <w:u w:val="single"/>
          <w:lang w:eastAsia="ru-RU"/>
        </w:rPr>
        <w:t>com</w:t>
      </w:r>
      <w:proofErr w:type="gramEnd"/>
    </w:p>
    <w:p w14:paraId="0E6380A5" w14:textId="77777777" w:rsidR="00E307C7" w:rsidRPr="0018789F" w:rsidRDefault="00000000">
      <w:pPr>
        <w:spacing w:line="0" w:lineRule="atLeast"/>
        <w:ind w:firstLineChars="200" w:firstLine="480"/>
        <w:rPr>
          <w:rFonts w:ascii="Times New Roman" w:eastAsia="Segoe UI" w:hAnsi="Times New Roman" w:cs="Times New Roman"/>
          <w:color w:val="000000" w:themeColor="text1"/>
          <w:sz w:val="24"/>
          <w:lang w:val="ru-RU"/>
        </w:rPr>
      </w:pPr>
      <w:bookmarkStart w:id="0" w:name="OLE_LINK2"/>
      <w:r w:rsidRPr="0018789F">
        <w:rPr>
          <w:rFonts w:ascii="Times New Roman" w:eastAsia="Segoe UI" w:hAnsi="Times New Roman" w:cs="Times New Roman"/>
          <w:color w:val="000000" w:themeColor="text1"/>
          <w:sz w:val="24"/>
          <w:lang w:val="ru-RU"/>
        </w:rPr>
        <w:t xml:space="preserve">В условиях нарастающего антропогенного загрязнения окружающей среды ключевое значение приобретают как полевые, так и лабораторные экологические исследования. В рамках этих исследований большое внимание уделяется анализу воздействия загрязняющих веществ на организационные маркеры — виды, которые обладают высокой чувствительностью к изменениям в своей среде обитания и служат индикаторами её состояния. Хотя такие явные показатели экосистем, как рост, размножение, выживание и прочие, имеют значение для оценки состояния экосистемы, они отражают лишь конечные результаты воздействия. Наиболее перспективными методами диагностики состояния организмов на клеточном уровне являются биофизические методы, особенно спектральные, направленные на изучение состояния фотосинтетических мембран фотосинтезирующих организмов. В числе потенциальных загрязнителей, таких как радиоизотопы, пестициды, пластмассы и другие, важное место занимают соли тяжёлых металлов. Особое внимание уделяется изучению рисков, связанных с воздействием этих загрязнителей на водные экосистемы. </w:t>
      </w:r>
      <w:bookmarkStart w:id="1" w:name="OLE_LINK1"/>
    </w:p>
    <w:p w14:paraId="057AC28E" w14:textId="77777777" w:rsidR="00E307C7" w:rsidRPr="0018789F" w:rsidRDefault="00000000">
      <w:pPr>
        <w:spacing w:line="0" w:lineRule="atLeast"/>
        <w:ind w:firstLineChars="200" w:firstLine="480"/>
        <w:rPr>
          <w:rFonts w:ascii="Times New Roman" w:eastAsia="Segoe UI" w:hAnsi="Times New Roman" w:cs="Times New Roman"/>
          <w:color w:val="000000" w:themeColor="text1"/>
          <w:sz w:val="24"/>
          <w:lang w:val="ru-RU"/>
        </w:rPr>
      </w:pPr>
      <w:r w:rsidRPr="0018789F">
        <w:rPr>
          <w:rFonts w:ascii="Times New Roman" w:eastAsia="Segoe UI" w:hAnsi="Times New Roman" w:cs="Times New Roman"/>
          <w:color w:val="000000" w:themeColor="text1"/>
          <w:sz w:val="24"/>
          <w:lang w:val="ru-RU"/>
        </w:rPr>
        <w:t xml:space="preserve">Целью данной работы было изучение токсического воздействия тяжелых металлов (серебра и меди) на модельных системах на основе зеленых водорослей - </w:t>
      </w:r>
      <w:proofErr w:type="spellStart"/>
      <w:r>
        <w:rPr>
          <w:rFonts w:ascii="Times New Roman" w:eastAsia="Segoe UI" w:hAnsi="Times New Roman" w:cs="Times New Roman"/>
          <w:color w:val="000000" w:themeColor="text1"/>
          <w:sz w:val="24"/>
          <w:lang w:val="ru-RU"/>
        </w:rPr>
        <w:t>Scenedesmus</w:t>
      </w:r>
      <w:proofErr w:type="spellEnd"/>
      <w:r>
        <w:rPr>
          <w:rFonts w:ascii="Times New Roman" w:eastAsia="Segoe UI" w:hAnsi="Times New Roman" w:cs="Times New Roman"/>
          <w:color w:val="000000" w:themeColor="text1"/>
          <w:sz w:val="24"/>
          <w:lang w:val="ru-RU"/>
        </w:rPr>
        <w:t xml:space="preserve"> </w:t>
      </w:r>
      <w:proofErr w:type="spellStart"/>
      <w:r>
        <w:rPr>
          <w:rFonts w:ascii="Times New Roman" w:eastAsia="Segoe UI" w:hAnsi="Times New Roman" w:cs="Times New Roman"/>
          <w:color w:val="000000" w:themeColor="text1"/>
          <w:sz w:val="24"/>
          <w:lang w:val="ru-RU"/>
        </w:rPr>
        <w:t>quadricauda</w:t>
      </w:r>
      <w:proofErr w:type="spellEnd"/>
      <w:r w:rsidRPr="0018789F">
        <w:rPr>
          <w:rFonts w:ascii="Times New Roman" w:eastAsia="Segoe UI" w:hAnsi="Times New Roman" w:cs="Times New Roman"/>
          <w:color w:val="000000" w:themeColor="text1"/>
          <w:sz w:val="24"/>
          <w:lang w:val="ru-RU"/>
        </w:rPr>
        <w:t>.</w:t>
      </w:r>
      <w:r w:rsidRPr="0018789F">
        <w:rPr>
          <w:rFonts w:ascii="Times New Roman" w:eastAsia="SimSun" w:hAnsi="Times New Roman" w:cs="Times New Roman" w:hint="eastAsia"/>
          <w:color w:val="000000" w:themeColor="text1"/>
          <w:sz w:val="24"/>
          <w:lang w:val="ru-RU"/>
        </w:rPr>
        <w:t xml:space="preserve"> </w:t>
      </w:r>
      <w:r w:rsidRPr="0018789F">
        <w:rPr>
          <w:rFonts w:ascii="Times New Roman" w:eastAsia="Segoe UI" w:hAnsi="Times New Roman" w:cs="Times New Roman"/>
          <w:color w:val="000000" w:themeColor="text1"/>
          <w:sz w:val="24"/>
          <w:lang w:val="ru-RU"/>
        </w:rPr>
        <w:t>Исследование воздействия солей меди (</w:t>
      </w:r>
      <w:r>
        <w:rPr>
          <w:rFonts w:ascii="Times New Roman" w:eastAsia="Segoe UI" w:hAnsi="Times New Roman" w:cs="Times New Roman"/>
          <w:color w:val="000000" w:themeColor="text1"/>
          <w:sz w:val="24"/>
        </w:rPr>
        <w:t>Cu</w:t>
      </w:r>
      <w:r w:rsidRPr="0018789F">
        <w:rPr>
          <w:rFonts w:ascii="Times New Roman" w:eastAsia="Segoe UI" w:hAnsi="Times New Roman" w:cs="Times New Roman"/>
          <w:color w:val="000000" w:themeColor="text1"/>
          <w:sz w:val="24"/>
          <w:lang w:val="ru-RU"/>
        </w:rPr>
        <w:t>) и серебра (</w:t>
      </w:r>
      <w:r>
        <w:rPr>
          <w:rFonts w:ascii="Times New Roman" w:eastAsia="Segoe UI" w:hAnsi="Times New Roman" w:cs="Times New Roman"/>
          <w:color w:val="000000" w:themeColor="text1"/>
          <w:sz w:val="24"/>
        </w:rPr>
        <w:t>Ag</w:t>
      </w:r>
      <w:r w:rsidRPr="0018789F">
        <w:rPr>
          <w:rFonts w:ascii="Times New Roman" w:eastAsia="Segoe UI" w:hAnsi="Times New Roman" w:cs="Times New Roman"/>
          <w:color w:val="000000" w:themeColor="text1"/>
          <w:sz w:val="24"/>
          <w:lang w:val="ru-RU"/>
        </w:rPr>
        <w:t xml:space="preserve">) на фотосинтетическую активность культур водорослей </w:t>
      </w:r>
      <w:r>
        <w:rPr>
          <w:rFonts w:ascii="Times New Roman" w:eastAsia="Segoe UI" w:hAnsi="Times New Roman" w:cs="Times New Roman"/>
          <w:color w:val="000000" w:themeColor="text1"/>
          <w:sz w:val="24"/>
        </w:rPr>
        <w:t>Scenedesmus</w:t>
      </w:r>
      <w:r w:rsidRPr="0018789F">
        <w:rPr>
          <w:rFonts w:ascii="Times New Roman" w:eastAsia="Segoe UI" w:hAnsi="Times New Roman" w:cs="Times New Roman"/>
          <w:color w:val="000000" w:themeColor="text1"/>
          <w:sz w:val="24"/>
          <w:lang w:val="ru-RU"/>
        </w:rPr>
        <w:t xml:space="preserve"> </w:t>
      </w:r>
      <w:proofErr w:type="spellStart"/>
      <w:r>
        <w:rPr>
          <w:rFonts w:ascii="Times New Roman" w:eastAsia="Segoe UI" w:hAnsi="Times New Roman" w:cs="Times New Roman"/>
          <w:color w:val="000000" w:themeColor="text1"/>
          <w:sz w:val="24"/>
        </w:rPr>
        <w:t>quadricauda</w:t>
      </w:r>
      <w:proofErr w:type="spellEnd"/>
      <w:r w:rsidRPr="0018789F">
        <w:rPr>
          <w:rFonts w:ascii="Times New Roman" w:eastAsia="Segoe UI" w:hAnsi="Times New Roman" w:cs="Times New Roman"/>
          <w:color w:val="000000" w:themeColor="text1"/>
          <w:sz w:val="24"/>
          <w:lang w:val="ru-RU"/>
        </w:rPr>
        <w:t xml:space="preserve"> проводилось с применением спектроскопического метода, который позволяет оценить состояние фотосинтетических мембран водорослей под воздействием стрессовых факторов. Использовался метод регистрации кинетики быстрой флуоресценции хлорофилла-</w:t>
      </w:r>
      <w:r>
        <w:rPr>
          <w:rFonts w:ascii="Times New Roman" w:eastAsia="Segoe UI" w:hAnsi="Times New Roman" w:cs="Times New Roman"/>
          <w:color w:val="000000" w:themeColor="text1"/>
          <w:sz w:val="24"/>
        </w:rPr>
        <w:t>a</w:t>
      </w:r>
      <w:r w:rsidRPr="0018789F">
        <w:rPr>
          <w:rFonts w:ascii="Times New Roman" w:eastAsia="Segoe UI" w:hAnsi="Times New Roman" w:cs="Times New Roman"/>
          <w:color w:val="000000" w:themeColor="text1"/>
          <w:sz w:val="24"/>
          <w:lang w:val="ru-RU"/>
        </w:rPr>
        <w:t xml:space="preserve">, известный как </w:t>
      </w:r>
      <w:r>
        <w:rPr>
          <w:rFonts w:ascii="Times New Roman" w:eastAsia="Segoe UI" w:hAnsi="Times New Roman" w:cs="Times New Roman"/>
          <w:color w:val="000000" w:themeColor="text1"/>
          <w:sz w:val="24"/>
        </w:rPr>
        <w:t>OJIP</w:t>
      </w:r>
      <w:r w:rsidRPr="0018789F">
        <w:rPr>
          <w:rFonts w:ascii="Times New Roman" w:eastAsia="Segoe UI" w:hAnsi="Times New Roman" w:cs="Times New Roman"/>
          <w:color w:val="000000" w:themeColor="text1"/>
          <w:sz w:val="24"/>
          <w:lang w:val="ru-RU"/>
        </w:rPr>
        <w:t>-тест.</w:t>
      </w:r>
    </w:p>
    <w:bookmarkEnd w:id="1"/>
    <w:p w14:paraId="5722A4CB" w14:textId="77777777" w:rsidR="00E307C7" w:rsidRPr="0018789F" w:rsidRDefault="00000000">
      <w:pPr>
        <w:spacing w:line="0" w:lineRule="atLeast"/>
        <w:ind w:firstLineChars="200" w:firstLine="480"/>
        <w:rPr>
          <w:rFonts w:ascii="Times New Roman" w:eastAsia="SimSun" w:hAnsi="Times New Roman" w:cs="Times New Roman"/>
          <w:color w:val="000000" w:themeColor="text1"/>
          <w:sz w:val="24"/>
          <w:lang w:val="ru-RU"/>
        </w:rPr>
      </w:pPr>
      <w:r w:rsidRPr="0018789F">
        <w:rPr>
          <w:rFonts w:ascii="Times New Roman" w:eastAsia="Segoe UI" w:hAnsi="Times New Roman" w:cs="Times New Roman"/>
          <w:color w:val="000000" w:themeColor="text1"/>
          <w:sz w:val="24"/>
          <w:lang w:val="ru-RU"/>
        </w:rPr>
        <w:t>Обнаружено, что влияние солей серебра и меди на фотосинтетическую активность микроводорослей зависит от времени воздействия и концентрации этих солей. Оба типа ионов оказывают негативное воздействие на фотосинтез, но степень и характер этого влияния различаются. Ионы серебра, как правило, вызывают резкие изменения, и основная часть повреждений наступает в течение первых двух часов; после 18 часов влияние практически не усиливается. В отличие от этого, ионы меди влияют более постепенно, с кумулятивным эффектом, и серьезные последствия становятся заметными только при длительном воздействии. Также стоит отметить, что выраженность этих эффектов усиливается с увеличением концентрации соли, что подчеркивает важность учета интенсивности и длительности воздействия для оценки потенциального влияния таких загрязняющих веществ на окружающую среду</w:t>
      </w:r>
      <w:r w:rsidRPr="0018789F">
        <w:rPr>
          <w:rFonts w:ascii="Times New Roman" w:eastAsia="SimSun" w:hAnsi="Times New Roman" w:cs="Times New Roman" w:hint="eastAsia"/>
          <w:color w:val="000000" w:themeColor="text1"/>
          <w:sz w:val="24"/>
          <w:lang w:val="ru-RU"/>
        </w:rPr>
        <w:t>.</w:t>
      </w:r>
    </w:p>
    <w:bookmarkEnd w:id="0"/>
    <w:p w14:paraId="5DBE462E" w14:textId="77777777" w:rsidR="00E307C7" w:rsidRDefault="00000000">
      <w:pPr>
        <w:spacing w:before="40" w:after="50"/>
        <w:ind w:left="80" w:right="80" w:firstLine="707"/>
        <w:jc w:val="center"/>
        <w:rPr>
          <w:rFonts w:ascii="Times New Roman" w:eastAsia="SimSun" w:hAnsi="Times New Roman" w:cs="Times New Roman"/>
          <w:color w:val="000000" w:themeColor="text1"/>
          <w:sz w:val="24"/>
        </w:rPr>
      </w:pPr>
      <w:r>
        <w:rPr>
          <w:rFonts w:ascii="Times New Roman" w:eastAsia="Calibri" w:hAnsi="Times New Roman" w:cs="Times New Roman"/>
          <w:b/>
          <w:bCs/>
          <w:sz w:val="24"/>
          <w:lang w:val="ru-RU" w:eastAsia="ru-RU"/>
        </w:rPr>
        <w:t>Литература</w:t>
      </w:r>
    </w:p>
    <w:p w14:paraId="109D4C1D" w14:textId="77777777" w:rsidR="00E307C7" w:rsidRDefault="00000000">
      <w:pPr>
        <w:numPr>
          <w:ilvl w:val="0"/>
          <w:numId w:val="1"/>
        </w:numPr>
        <w:spacing w:line="0" w:lineRule="atLeast"/>
        <w:rPr>
          <w:rFonts w:ascii="Times New Roman" w:eastAsia="SimSun" w:hAnsi="Times New Roman" w:cs="Times New Roman"/>
          <w:color w:val="000000" w:themeColor="text1"/>
          <w:sz w:val="22"/>
          <w:szCs w:val="22"/>
        </w:rPr>
      </w:pPr>
      <w:proofErr w:type="spellStart"/>
      <w:r>
        <w:rPr>
          <w:rFonts w:ascii="Times New Roman" w:eastAsia="SimSun" w:hAnsi="Times New Roman" w:cs="Times New Roman" w:hint="eastAsia"/>
          <w:color w:val="000000" w:themeColor="text1"/>
          <w:sz w:val="22"/>
          <w:szCs w:val="22"/>
        </w:rPr>
        <w:t>Kalaji</w:t>
      </w:r>
      <w:proofErr w:type="spellEnd"/>
      <w:r>
        <w:rPr>
          <w:rFonts w:ascii="Times New Roman" w:eastAsia="SimSun" w:hAnsi="Times New Roman" w:cs="Times New Roman" w:hint="eastAsia"/>
          <w:color w:val="000000" w:themeColor="text1"/>
          <w:sz w:val="22"/>
          <w:szCs w:val="22"/>
        </w:rPr>
        <w:t xml:space="preserve">, H.M., </w:t>
      </w:r>
      <w:proofErr w:type="spellStart"/>
      <w:r>
        <w:rPr>
          <w:rFonts w:ascii="Times New Roman" w:eastAsia="SimSun" w:hAnsi="Times New Roman" w:cs="Times New Roman" w:hint="eastAsia"/>
          <w:color w:val="000000" w:themeColor="text1"/>
          <w:sz w:val="22"/>
          <w:szCs w:val="22"/>
        </w:rPr>
        <w:t>Schansker</w:t>
      </w:r>
      <w:proofErr w:type="spellEnd"/>
      <w:r>
        <w:rPr>
          <w:rFonts w:ascii="Times New Roman" w:eastAsia="SimSun" w:hAnsi="Times New Roman" w:cs="Times New Roman" w:hint="eastAsia"/>
          <w:color w:val="000000" w:themeColor="text1"/>
          <w:sz w:val="22"/>
          <w:szCs w:val="22"/>
        </w:rPr>
        <w:t>, G., et al., Photosynth. Res., 2014, vol. 122, pp. 121</w:t>
      </w:r>
      <w:r>
        <w:rPr>
          <w:rFonts w:ascii="Times New Roman" w:eastAsia="SimSun" w:hAnsi="Times New Roman" w:cs="Times New Roman" w:hint="eastAsia"/>
          <w:color w:val="000000" w:themeColor="text1"/>
          <w:sz w:val="22"/>
          <w:szCs w:val="22"/>
        </w:rPr>
        <w:t>–</w:t>
      </w:r>
      <w:r>
        <w:rPr>
          <w:rFonts w:ascii="Times New Roman" w:eastAsia="SimSun" w:hAnsi="Times New Roman" w:cs="Times New Roman" w:hint="eastAsia"/>
          <w:color w:val="000000" w:themeColor="text1"/>
          <w:sz w:val="22"/>
          <w:szCs w:val="22"/>
        </w:rPr>
        <w:t>158.</w:t>
      </w:r>
    </w:p>
    <w:p w14:paraId="7C9F9262" w14:textId="6FCE6B76" w:rsidR="00E307C7" w:rsidRPr="0018789F" w:rsidRDefault="00000000" w:rsidP="0018789F">
      <w:pPr>
        <w:spacing w:line="0" w:lineRule="atLeast"/>
        <w:rPr>
          <w:rFonts w:ascii="Times New Roman" w:eastAsia="SimSun" w:hAnsi="Times New Roman" w:cs="Times New Roman"/>
          <w:color w:val="000000" w:themeColor="text1"/>
          <w:sz w:val="22"/>
          <w:szCs w:val="22"/>
        </w:rPr>
      </w:pPr>
      <w:r>
        <w:rPr>
          <w:rFonts w:ascii="Times New Roman" w:eastAsia="SimSun" w:hAnsi="Times New Roman" w:hint="eastAsia"/>
          <w:sz w:val="24"/>
        </w:rPr>
        <w:t xml:space="preserve">2. </w:t>
      </w:r>
      <w:r>
        <w:rPr>
          <w:rFonts w:ascii="Times New Roman" w:eastAsia="TimesNewRomanPSMT" w:hAnsi="Times New Roman"/>
          <w:sz w:val="24"/>
        </w:rPr>
        <w:t>Costa, C.; Teixeira, J.P. Biomonitoring. In Encyclopedia of Toxicology (Third Edition), Wexler, P., Ed.; Academic Press: Oxford, 2014; pp. 483-484.</w:t>
      </w:r>
    </w:p>
    <w:sectPr w:rsidR="00E307C7" w:rsidRPr="001878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S Gothic"/>
    <w:panose1 w:val="020B0604020202020204"/>
    <w:charset w:val="00"/>
    <w:family w:val="roman"/>
    <w:pitch w:val="default"/>
    <w:sig w:usb0="00000000" w:usb1="0000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EB8413"/>
    <w:multiLevelType w:val="singleLevel"/>
    <w:tmpl w:val="B8EB8413"/>
    <w:lvl w:ilvl="0">
      <w:start w:val="1"/>
      <w:numFmt w:val="decimal"/>
      <w:suff w:val="space"/>
      <w:lvlText w:val="%1."/>
      <w:lvlJc w:val="left"/>
    </w:lvl>
  </w:abstractNum>
  <w:num w:numId="1" w16cid:durableId="600842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lmZGQzY2Q0MWQ0MmU2ZWUzMDI2OTBiOWI3N2U2ZDAifQ=="/>
  </w:docVars>
  <w:rsids>
    <w:rsidRoot w:val="52A927C5"/>
    <w:rsid w:val="0018789F"/>
    <w:rsid w:val="009F300E"/>
    <w:rsid w:val="00E307C7"/>
    <w:rsid w:val="40A007AF"/>
    <w:rsid w:val="454415F3"/>
    <w:rsid w:val="52A92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EDCA8B2"/>
  <w15:docId w15:val="{6FDF818A-8B7F-8348-91BC-723184EDB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453</Words>
  <Characters>2587</Characters>
  <Application>Microsoft Office Word</Application>
  <DocSecurity>0</DocSecurity>
  <Lines>21</Lines>
  <Paragraphs>6</Paragraphs>
  <ScaleCrop>false</ScaleCrop>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丁钒</dc:creator>
  <cp:lastModifiedBy>Marine Bozdaganyan</cp:lastModifiedBy>
  <cp:revision>2</cp:revision>
  <dcterms:created xsi:type="dcterms:W3CDTF">2025-03-13T13:45:00Z</dcterms:created>
  <dcterms:modified xsi:type="dcterms:W3CDTF">2025-03-29T04:01:00Z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18C3EAE7627C473DB58993757236F191_13</vt:lpwstr>
  </property>
</Properties>
</file>