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7388">
      <w:pPr>
        <w:pStyle w:val="7"/>
        <w:keepNext w:val="0"/>
        <w:keepLines w:val="0"/>
        <w:pageBreakBefore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Влияние генетических факторов на поведение человека</w:t>
      </w:r>
    </w:p>
    <w:p w14:paraId="387511C4">
      <w:pPr>
        <w:pStyle w:val="7"/>
        <w:keepNext w:val="0"/>
        <w:keepLines w:val="0"/>
        <w:pageBreakBefore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Ся Фэйюе</w:t>
      </w:r>
    </w:p>
    <w:p w14:paraId="4FBF9F46">
      <w:pPr>
        <w:pStyle w:val="7"/>
        <w:keepNext w:val="0"/>
        <w:keepLines w:val="0"/>
        <w:pageBreakBefore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380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1 курс бакалавриата</w:t>
      </w:r>
    </w:p>
    <w:p w14:paraId="0F28AD90">
      <w:pPr>
        <w:pStyle w:val="7"/>
        <w:keepNext w:val="0"/>
        <w:keepLines w:val="0"/>
        <w:pageBreakBefore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380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Университет МГУ-ППИ в Шэньчжэне, Шэньчжэнь, Китай</w:t>
      </w:r>
    </w:p>
    <w:p w14:paraId="6DEB379A">
      <w:pPr>
        <w:pStyle w:val="7"/>
        <w:keepNext w:val="0"/>
        <w:keepLines w:val="0"/>
        <w:pageBreakBefore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E-mail: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u w:val="none"/>
        </w:rPr>
        <w:t>ChristineGracete14@163.com</w:t>
      </w:r>
    </w:p>
    <w:p w14:paraId="4F230A17">
      <w:pPr>
        <w:pStyle w:val="7"/>
        <w:keepNext w:val="0"/>
        <w:keepLines w:val="0"/>
        <w:pageBreakBefore w:val="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Исследование влияния генетики на поведение человека в последние десятилетия становится всё более актуальным. Знание генетических факторов, влияющих на поведение, может помочь в профилактике преступности, психических заболеваний, а также в предсказании личностных особенностей. В начале XX века учёные начали обращать внимание на связь между генетикой и поведением человека, что позволило сформировать основы для дальнейших исследований в этой области.</w:t>
      </w:r>
    </w:p>
    <w:p w14:paraId="14F43A5A">
      <w:pPr>
        <w:pStyle w:val="7"/>
        <w:keepNext w:val="0"/>
        <w:keepLines w:val="0"/>
        <w:pageBreakBefore w:val="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Одним из наиболее известных аспектов изучения влияния генетики на поведение является связь между генами и склонностью к насилию.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ru-RU" w:eastAsia="ko-KR"/>
        </w:rPr>
        <w:t xml:space="preserve">В ряде исследований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определённые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генетические маркеры могут предсказывать вероятность проявления насильственного поведения. В 2007 году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Рейф и его коллеги провели исследование с участием 188 мужчин-добровольцев, которое показало, что два гена </w:t>
      </w:r>
      <w:r>
        <w:rPr>
          <w:rFonts w:hint="eastAsia" w:ascii="SimSun" w:hAnsi="SimSun" w:eastAsia="SimSun" w:cs="SimSu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транспортёр</w:t>
      </w:r>
      <w:r>
        <w:rPr>
          <w:rFonts w:hint="default" w:ascii="Times New Roman" w:hAnsi="Times New Roman" w:cs="Times New Roman"/>
          <w:sz w:val="24"/>
          <w:szCs w:val="24"/>
        </w:rPr>
        <w:t xml:space="preserve"> серотонина (5HTT) и моноаминоксидаза А (MAOA)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SimSun" w:hAnsi="SimSun" w:eastAsia="SimSun" w:cs="SimSun"/>
          <w:sz w:val="24"/>
          <w:szCs w:val="24"/>
        </w:rPr>
        <w:t>-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играют ключевую роль в развитии склонности к насилию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, 2376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и</w:t>
      </w:r>
      <w:r>
        <w:rPr>
          <w:rFonts w:hint="default" w:ascii="Times New Roman" w:hAnsi="Times New Roman" w:cs="Times New Roman"/>
          <w:sz w:val="24"/>
          <w:szCs w:val="24"/>
        </w:rPr>
        <w:t>сследовани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Мартинеса и его коллег в 2022 году подтвердил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ась</w:t>
      </w:r>
      <w:r>
        <w:rPr>
          <w:rFonts w:hint="default" w:ascii="Times New Roman" w:hAnsi="Times New Roman" w:cs="Times New Roman"/>
          <w:sz w:val="24"/>
          <w:szCs w:val="24"/>
        </w:rPr>
        <w:t xml:space="preserve"> важность генов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было акцентировано </w:t>
      </w:r>
      <w:r>
        <w:rPr>
          <w:rFonts w:hint="default" w:ascii="Times New Roman" w:hAnsi="Times New Roman" w:cs="Times New Roman"/>
          <w:sz w:val="24"/>
          <w:szCs w:val="24"/>
        </w:rPr>
        <w:t>внимание на сложном взаимодействии между генами 5-HTT и MAOA-uvNTR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, 4].</w:t>
      </w:r>
      <w:bookmarkStart w:id="0" w:name="_GoBack"/>
      <w:bookmarkEnd w:id="0"/>
    </w:p>
    <w:p w14:paraId="48AC3B9E">
      <w:pPr>
        <w:pStyle w:val="7"/>
        <w:keepNext w:val="0"/>
        <w:keepLines w:val="0"/>
        <w:pageBreakBefore w:val="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енетика может влиять на склонность к импульсивному поведению, которое также играет важную роль в формировании психических расстройств и заболеваний. В 2022 году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Покхвиснева и её коллеги провели исследование среди детей-добровольцев, результаты которого показали, что полигенный балл на основе экспрессии генов (ePRS), связанный с кортиколимбическими сетями, ассоциирован с фенотипами, связанными с импульсивностью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, 2748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Исследования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Д.</w:t>
      </w:r>
      <w:r>
        <w:rPr>
          <w:rFonts w:hint="default" w:ascii="Times New Roman" w:hAnsi="Times New Roman" w:cs="Times New Roman"/>
          <w:sz w:val="24"/>
          <w:szCs w:val="24"/>
        </w:rPr>
        <w:t xml:space="preserve"> Фрагуаса и его коллег показали, что гены GABRA1, GABRA6 и GABRB1 кодируют белки, регулирующие нейротрансмиттерные системы, которые могут играть ключевую роль в расстройствах, связанных с импульсивностью, такими как СДВГ и депрессия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, 128].</w:t>
      </w:r>
    </w:p>
    <w:p w14:paraId="1B9E304B">
      <w:pPr>
        <w:pStyle w:val="7"/>
        <w:keepNext w:val="0"/>
        <w:keepLines w:val="0"/>
        <w:pageBreakBefore w:val="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165" w:firstLineChars="6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Влияние генетики на поведение проявляется в различиях между полами. В 2000 году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исследование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Делловаде показал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 что два гена, кодирующие рецепторы гормонов щитовидной железы (TR) α1 и β, оказывают противоположное влияние на женское поведение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Malgun Gothic" w:cs="Times New Roman"/>
          <w:sz w:val="24"/>
          <w:szCs w:val="24"/>
          <w:lang w:val="ru-RU" w:eastAsia="ko-KR"/>
        </w:rPr>
        <w:t>, 472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Это исследование стало одним из первых, подтвердивших, что различия в поведении мужчин и женщин могут быть обусловлены генетическими факторами.</w:t>
      </w:r>
    </w:p>
    <w:p w14:paraId="7EE73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184D671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  <w:t>Dellovade T. L., Chan J., Vennstrom B., Forrest D., Pfaff D. W. The two thyroid hormone receptor genes have opposite effects on estrogen-stimulated sex behaviors // Nature Neuroscience. 2000. Vol. 3, No. 5. P. 472–475.</w:t>
      </w:r>
    </w:p>
    <w:p w14:paraId="0415015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  <w:t>Fraguas D., Meyer D., Arango C. Genes and impulsivity: Comment to the study of Nomura et al. on Involvement of a polymorphism in the 5-HT2A receptor gene in impulsive behavior // Psychopharmacology. 2006. Vol. 188, No. 1. P. 128–129.</w:t>
      </w:r>
    </w:p>
    <w:p w14:paraId="0992533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  <w:t>Martínez R. M., Liao T. T., Fan Y. T. et al. Interaction effects of the 5-HTT and MAOA-uVNTR gene variants on pre-attentive EEG activity in response to threatening voices // Communications Biology. 2022. Vol. 5. Article 340.</w:t>
      </w:r>
    </w:p>
    <w:p w14:paraId="29D46D25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  <w:t>Reif A., Rösler M., Freitag C. et al. Nature and Nurture Predispose to Violent Behavior: Serotonergic Genes and Adverse Childhood Environment // Neuropsychopharmacology. 2007. Vol. 32. P. 2375–2383.</w:t>
      </w:r>
    </w:p>
    <w:p w14:paraId="333D391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US"/>
        </w:rPr>
        <w:t>Restrepo-Lozano J. M., Pokhvisneva I., Wang Z. et al. Corticolimbic DCC gene co-expression networks as predictors of impulsivity in children // Molecular Psychiatry. 2022. Vol. 27. P. 2742–2750.</w:t>
      </w:r>
    </w:p>
    <w:sectPr>
      <w:pgSz w:w="11900" w:h="16840"/>
      <w:pgMar w:top="1134" w:right="1361" w:bottom="1134" w:left="136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1426B"/>
    <w:multiLevelType w:val="singleLevel"/>
    <w:tmpl w:val="63D142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91"/>
    <w:rsid w:val="00B467C2"/>
    <w:rsid w:val="00B76A91"/>
    <w:rsid w:val="00C37FBE"/>
    <w:rsid w:val="00DA3EF9"/>
    <w:rsid w:val="5384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Arial" w:hAnsi="Arial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zh-CN" w:bidi="ar-SA"/>
    </w:rPr>
  </w:style>
  <w:style w:type="paragraph" w:customStyle="1" w:styleId="7">
    <w:name w:val="Defaul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ru-RU" w:eastAsia="zh-CN" w:bidi="ar-SA"/>
    </w:rPr>
  </w:style>
  <w:style w:type="character" w:customStyle="1" w:styleId="8">
    <w:name w:val="Hyperlink.0"/>
    <w:basedOn w:val="4"/>
    <w:qFormat/>
    <w:uiPriority w:val="0"/>
    <w:rPr>
      <w:color w:val="0000FF"/>
      <w:u w:val="single" w:color="0000FF"/>
    </w:rPr>
  </w:style>
  <w:style w:type="character" w:customStyle="1" w:styleId="9">
    <w:name w:val="None"/>
    <w:uiPriority w:val="0"/>
  </w:style>
  <w:style w:type="character" w:customStyle="1" w:styleId="10">
    <w:name w:val="Hyperlink.1"/>
    <w:basedOn w:val="9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540</Words>
  <Characters>3082</Characters>
  <Lines>25</Lines>
  <Paragraphs>7</Paragraphs>
  <TotalTime>30</TotalTime>
  <ScaleCrop>false</ScaleCrop>
  <LinksUpToDate>false</LinksUpToDate>
  <CharactersWithSpaces>3615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2025-02-27T00:46:00Z</dcterms:created>
  <dc:creator>Администратор</dc:creator>
  <cp:lastModifiedBy>Администратор</cp:lastModifiedBy>
  <dcterms:modified xsi:type="dcterms:W3CDTF">2025-02-28T07:02:14Z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1A12632C19C84918A0B4A352C9A58422_12</vt:lpwstr>
  </property>
</Properties>
</file>