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5CDF" w14:textId="77777777" w:rsidR="00C447D7" w:rsidRDefault="00000000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lang w:val="ru-RU"/>
        </w:rPr>
        <w:t>МОСКОВСКИЙ ГОСУДАРСТВЕННЫЙ УНИВЕРСИТЕТ</w:t>
      </w:r>
    </w:p>
    <w:p w14:paraId="1D1B98CD" w14:textId="77777777" w:rsidR="00C447D7" w:rsidRDefault="00000000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lang w:val="ru-RU"/>
        </w:rPr>
        <w:t>имени М. В. Ломоносова</w:t>
      </w:r>
    </w:p>
    <w:p w14:paraId="46C1B661" w14:textId="77777777" w:rsidR="00C447D7" w:rsidRDefault="00000000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lang w:val="ru-RU"/>
        </w:rPr>
        <w:t>Институт стран Азии и Африки</w:t>
      </w:r>
    </w:p>
    <w:p w14:paraId="107E9323" w14:textId="77777777" w:rsidR="00C447D7" w:rsidRDefault="00C447D7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</w:p>
    <w:p w14:paraId="62DF6EC5" w14:textId="77777777" w:rsidR="00C447D7" w:rsidRDefault="00C447D7">
      <w:pPr>
        <w:jc w:val="center"/>
        <w:rPr>
          <w:rFonts w:ascii="Times New Roman" w:eastAsia="Times New Roman" w:hAnsi="Times New Roman" w:cs="Times New Roman"/>
          <w:kern w:val="0"/>
          <w:lang w:val="ru-RU"/>
        </w:rPr>
      </w:pPr>
    </w:p>
    <w:p w14:paraId="30A9593A" w14:textId="77777777" w:rsidR="00C447D7" w:rsidRDefault="00C447D7">
      <w:pPr>
        <w:jc w:val="center"/>
        <w:rPr>
          <w:rFonts w:ascii="Times New Roman" w:eastAsia="Times New Roman" w:hAnsi="Times New Roman" w:cs="Times New Roman"/>
          <w:kern w:val="0"/>
          <w:lang w:val="ru-RU"/>
        </w:rPr>
      </w:pPr>
    </w:p>
    <w:p w14:paraId="6BD0E1DB" w14:textId="77777777" w:rsidR="00C447D7" w:rsidRDefault="0000000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Исторический контекст развития экономических связей Китая и России</w:t>
      </w:r>
    </w:p>
    <w:p w14:paraId="47757BF4" w14:textId="77777777" w:rsidR="00C447D7" w:rsidRDefault="00C447D7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14:paraId="012120FA" w14:textId="77777777" w:rsidR="00C447D7" w:rsidRDefault="00C447D7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</w:p>
    <w:p w14:paraId="6EFAC86C" w14:textId="77777777" w:rsidR="00C447D7" w:rsidRDefault="00C447D7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</w:p>
    <w:p w14:paraId="25E7BA84" w14:textId="77777777" w:rsidR="00C447D7" w:rsidRDefault="00000000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Выполнила:</w:t>
      </w:r>
    </w:p>
    <w:p w14:paraId="45EB32E5" w14:textId="77777777" w:rsidR="00C447D7" w:rsidRDefault="00000000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Аспирант Гао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Цзяньхань</w:t>
      </w:r>
      <w:proofErr w:type="spellEnd"/>
    </w:p>
    <w:p w14:paraId="6B0C45F8" w14:textId="77777777" w:rsidR="00C447D7" w:rsidRDefault="00C447D7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E51F92" w14:textId="77777777" w:rsidR="00C447D7" w:rsidRDefault="00000000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Научный руководитель: </w:t>
      </w:r>
    </w:p>
    <w:p w14:paraId="00F91436" w14:textId="77777777" w:rsidR="00C447D7" w:rsidRDefault="00000000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к.э.н., доцент М. 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Гулева</w:t>
      </w:r>
      <w:proofErr w:type="spellEnd"/>
    </w:p>
    <w:p w14:paraId="04AA6109" w14:textId="77777777" w:rsidR="00C447D7" w:rsidRDefault="00C447D7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595A4F" w14:textId="77777777" w:rsidR="00C447D7" w:rsidRDefault="00C447D7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EA397A" w14:textId="77777777" w:rsidR="00C447D7" w:rsidRDefault="00C447D7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9ABE0AE" w14:textId="77777777" w:rsidR="00C447D7" w:rsidRDefault="00C447D7">
      <w:pPr>
        <w:tabs>
          <w:tab w:val="left" w:pos="178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D72125" w14:textId="77777777" w:rsidR="00C447D7" w:rsidRDefault="00000000">
      <w:pPr>
        <w:tabs>
          <w:tab w:val="left" w:pos="178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</w:t>
      </w:r>
    </w:p>
    <w:p w14:paraId="551F492E" w14:textId="77777777" w:rsidR="00C447D7" w:rsidRDefault="00C447D7">
      <w:pPr>
        <w:ind w:firstLine="24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474127" w14:textId="74DF2877" w:rsidR="00C447D7" w:rsidRPr="007038E4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Экономическое развитие восточных регионов России всегда занимало важное место в стратегии национального развития. Ещё в </w:t>
      </w:r>
      <w:r>
        <w:rPr>
          <w:rFonts w:ascii="Times New Roman" w:hAnsi="Times New Roman"/>
          <w:sz w:val="24"/>
          <w:szCs w:val="24"/>
        </w:rPr>
        <w:t>XVIII</w:t>
      </w:r>
      <w:r>
        <w:rPr>
          <w:rFonts w:ascii="Times New Roman" w:hAnsi="Times New Roman"/>
          <w:sz w:val="24"/>
          <w:szCs w:val="24"/>
          <w:lang w:val="ru-RU"/>
        </w:rPr>
        <w:t xml:space="preserve"> веке выдающийся российский учёный М. В. Ломоносов предсказал: "Могущество России прирастать будет Сибирью”. С точки зрения экономического и социального развития России, восточные регионы действительно имеют огромное значение для всей страны. Россия — крупнейшая страна в мире по площади, её территория составляет около 17,1 млн </w:t>
      </w:r>
      <w:r w:rsidR="007038E4">
        <w:rPr>
          <w:rFonts w:ascii="Times New Roman" w:hAnsi="Times New Roman"/>
          <w:sz w:val="24"/>
          <w:szCs w:val="24"/>
          <w:lang w:val="ru-RU"/>
        </w:rPr>
        <w:t>кв. км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  <w:lang w:val="ru-RU"/>
        </w:rPr>
        <w:t xml:space="preserve"> В постсоветский период значимость этих территорий для общероссийского развития возросла, что во многом связано с трансформацией международного статуса России и эволюцией её внешнеэкономических связей. В этом контексте особое внимание уделяется экономическому взаимодействию Восточной России и Северо-Восточного Китая.</w:t>
      </w:r>
    </w:p>
    <w:p w14:paraId="449B4E08" w14:textId="77777777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Современная историография вопроса достаточно обширна. Китайские и международные исследователи анализируют развитие российско-китайских отношений в постсоветский период, отмечая их последовательное укрепление: от "дружественных государств" к "равноправному и доверительному стратегическому партнёрству" и далее к "всестороннему стратегическому взаимодействию".</w:t>
      </w:r>
    </w:p>
    <w:p w14:paraId="150D7315" w14:textId="33EA1A4E" w:rsidR="00C447D7" w:rsidRPr="007038E4" w:rsidRDefault="00000000">
      <w:pPr>
        <w:ind w:firstLine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 частности, китайский ученый Дин Мин (2012) указывает на углубление сотрудничества в </w:t>
      </w:r>
      <w:r>
        <w:rPr>
          <w:rFonts w:ascii="Times New Roman" w:hAnsi="Times New Roman"/>
          <w:sz w:val="24"/>
          <w:szCs w:val="24"/>
        </w:rPr>
        <w:t>XXI</w:t>
      </w:r>
      <w:r>
        <w:rPr>
          <w:rFonts w:ascii="Times New Roman" w:hAnsi="Times New Roman"/>
          <w:sz w:val="24"/>
          <w:szCs w:val="24"/>
          <w:lang w:val="ru-RU"/>
        </w:rPr>
        <w:t xml:space="preserve"> веке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footnoteReference w:id="3"/>
      </w:r>
      <w:r>
        <w:rPr>
          <w:rFonts w:ascii="Times New Roman" w:hAnsi="Times New Roman"/>
          <w:sz w:val="24"/>
          <w:szCs w:val="24"/>
          <w:lang w:val="ru-RU"/>
        </w:rPr>
        <w:t xml:space="preserve">. В русскоязычной литературе встречается деление на три этапа развития российско-китайских отношений после окончания холодной войны. С 1989 по 2000 гг. начался первый этап, который ознаменовался нормализацией советско-китайских отношений после окончания холодной войны и завершился избранием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В.В.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Путина на пост президента РФ. Второй этап, с 2000 по 2008 гг., охватывает два президентских срока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В.В.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Путина. Третий этап, с осени 2008 по весну 2014 гг., включает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в себя как президентский срок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Д.А.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Медведева, так и первые два года третьего срока Владимира Путина.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footnoteReference w:id="4"/>
      </w:r>
    </w:p>
    <w:p w14:paraId="4004AEDE" w14:textId="77777777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Исследования российских учёных о стратегии развития восточных регионов России можно условно разделить на два направления. </w:t>
      </w:r>
    </w:p>
    <w:p w14:paraId="0EB54402" w14:textId="77777777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Первое – анализ предпосылок и факторов разработки стратегии. Острые демографические, социальные и экономические проблемы восточного региона определяют специфику планирования экономического и социального развития этого региона. Монография Кулешова В. В. «Экономика Сибири в начале XXI века» (2007), а также работа Бакланова П.Я. «Дальневосточный регион России: проблемы и предпосылки устойчивого развития» (2001) подробно освещают данный вопрос. В этих трудах подчеркивается, что геополитическая и экономическая ситуация на востоке страны является одним из важнейших факторов, влияющих на устойчивое развитие этого региона.</w:t>
      </w:r>
    </w:p>
    <w:p w14:paraId="5AFEAD88" w14:textId="15E1975E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Второе – исследование стратегий развития восточных регионов, отраженное в статье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Минакира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П.А. «Российский Дальний Восток и Забайкалье: программа международного экономического сотрудничества» (2002).</w:t>
      </w:r>
    </w:p>
    <w:p w14:paraId="77542C12" w14:textId="520297C7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Стратегическое сотрудничество между Китаем и Россией в полной мере соответствует потребностям развития обеих стран. Это подробно объясняется в монографии М. Л. Титаренко «Геополитическое значение Дальнего Востока» (2008), в монографии В. Ф. Печерицы «Восточный экспресс Путина ускоряется на Китай» (2015), а также в работе Н. И. Масленникова «Восточный поворот России: проблемы и перспективы» (2016).</w:t>
      </w:r>
    </w:p>
    <w:p w14:paraId="732B9D6E" w14:textId="77777777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данном исследовании применяются различные методы для обоснованности анализа:</w:t>
      </w:r>
    </w:p>
    <w:p w14:paraId="6B437E91" w14:textId="0D83A573" w:rsidR="00C447D7" w:rsidRDefault="00000000">
      <w:pPr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Анализ литературы – основной метод исследования, включающий сбор и систематизацию различных научных источников, а также детальный анализ ключевых публикаций для объективного понимания исследуемых фактов.</w:t>
      </w:r>
    </w:p>
    <w:p w14:paraId="175B7963" w14:textId="0E6EEFC4" w:rsidR="00C447D7" w:rsidRDefault="00000000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Качественной анализ предполагает обработку и интерпретацию значительных объемов данных с использованием индуктивного, синтетического и обобщающего подходов.</w:t>
      </w:r>
    </w:p>
    <w:p w14:paraId="2B4C966B" w14:textId="50F0F484" w:rsidR="00C447D7" w:rsidRDefault="00000000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Исторической анализ фокусируется на изучении и обобщении исторических событий в сфере международных отношений, выявлении закономерностей, позволяющих объяснить современные международные процессы и прогнозировать их дальнейшее развитие.</w:t>
      </w:r>
    </w:p>
    <w:p w14:paraId="31909D9C" w14:textId="69449BE3" w:rsidR="00C447D7" w:rsidRDefault="00000000">
      <w:pPr>
        <w:ind w:firstLine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Научная новизна исследования заключается в систематизации и сравнительном анализе экономического сотрудничества между Северо-Восточным Китаем и Восточной Россией с точки зрения его исторического развития, выявлении ключевых проблем и перспектив взаимодействия. Анализируются как стратегические интересы сторон, так и ограничения, накладываемые международной обстановкой. Работа также рассматривает лучшие практики регионального сотрудничества в мире и их возможное применение в российско-китайском контексте.</w:t>
      </w:r>
    </w:p>
    <w:p w14:paraId="13FB3CB2" w14:textId="4D8C1CC8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Целью исследования можно назвать попытку обоснования значимости экономического сотрудничества между Северо-Восточным Китаем и Восточной Россией с точки зрения различных факторов.</w:t>
      </w:r>
    </w:p>
    <w:p w14:paraId="28543608" w14:textId="1638C5D4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Экономическое сотрудничество между Китаем, особенно северо-восточными регионами страны, и российским Дальним Востоком имеет долгую историю. Под воздействием изменений на международной политической арене и в экономической обстановке обеих стран, сотрудничество между Россией и Китаем непрерывно углубляется. С момента образования Китайской Народной Республики в 1949 году двухстороннее экономическое взаимодействие активно развивалось, особенно в таких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сферах, как пограничная торговля, энергетика и трудовая миграция. В 1950-е годы Китай и Советский Союз подписали несколько экономических соглашений, при этом северо-восточные районы Китая стали важным направлением для китайско-советской торговли. Однако с ухудшением китайско-советских отношений в 1960-е годы, торговые связи были приостановлены. Лишь в середине 1980-х годов, с нормализацией отношений, возобновился рост пограничной торговли и экономического сотрудничества.</w:t>
      </w:r>
    </w:p>
    <w:p w14:paraId="41A9A1AE" w14:textId="77777777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После распада Советского Союза в 1990-е годы Россия столкнулась с экономическим кризисом, особенно в восточных регионах страны, что способствовало углублению экономических связей с Китаем. В этот период были подписаны многочисленные соглашения, направленные на развитие торговли, энергетического сотрудничества и строительства инфраструктуры. В начале XXI века, с учётом изменений на глобальной арене, Россия усилила инвестиции в Дальний Восток, а Китай активизировал сотрудничество с северо-восточными регионами, что привело к дальнейшему углублению двусторонних экономических связей, включая строительство инфраструктуры и развитие энергетических проектов.</w:t>
      </w:r>
    </w:p>
    <w:p w14:paraId="23AC62B6" w14:textId="18877C1B" w:rsidR="00C447D7" w:rsidRDefault="00000000">
      <w:pPr>
        <w:ind w:firstLine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последние годы, на фоне международной политической нестабильности и санкционного давления на Россию, страны ещё более укрепили </w:t>
      </w:r>
      <w:r w:rsidR="007038E4">
        <w:rPr>
          <w:rFonts w:ascii="Times New Roman" w:hAnsi="Times New Roman"/>
          <w:sz w:val="24"/>
          <w:szCs w:val="24"/>
          <w:lang w:val="ru-RU"/>
        </w:rPr>
        <w:t>двустороннее сотрудничество</w:t>
      </w:r>
      <w:r>
        <w:rPr>
          <w:rFonts w:ascii="Times New Roman" w:hAnsi="Times New Roman"/>
          <w:sz w:val="24"/>
          <w:szCs w:val="24"/>
          <w:lang w:val="ru-RU"/>
        </w:rPr>
        <w:t xml:space="preserve"> в рамках инициативы «Один пояс, один путь» и евразийских интеграционных процессов, что привело к дальнейшему углублению экономического взаимодействия. Взаимодополняющие потребности китайского северо-востока и российского Дальнего Востока способствовали расширению сотрудничества не только в сфере пограничной торговли, но и в строительстве инфраструктуры, энергетической добыче и трудовой миграции, что значительно укрепило экономическую интеграцию в Азиатско-Тихоокеанском регионе.</w:t>
      </w:r>
    </w:p>
    <w:p w14:paraId="27539312" w14:textId="77777777" w:rsidR="00C447D7" w:rsidRPr="007038E4" w:rsidRDefault="00000000">
      <w:pPr>
        <w:ind w:firstLine="24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целом, экономическое сотрудничество между северо-восточным Китаем и российским Дальним Востоком представляет собой важный элемент стратегического взаимодействия и региональной кооперации между двумя странами. С поддержкой обеих сторон, развитие этих регионов в рамках совместных экономических инициатив будет способствовать укреплению позиций обеих стран на мировом экономическом рынке и содействовать изменениям в глобальной экономической структуре.</w:t>
      </w:r>
    </w:p>
    <w:sectPr w:rsidR="00C447D7" w:rsidRPr="007038E4">
      <w:headerReference w:type="default" r:id="rId7"/>
      <w:footerReference w:type="default" r:id="rId8"/>
      <w:pgSz w:w="11900" w:h="16840"/>
      <w:pgMar w:top="1134" w:right="1361" w:bottom="1134" w:left="136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A76B" w14:textId="77777777" w:rsidR="00C702DB" w:rsidRDefault="00C702DB">
      <w:r>
        <w:separator/>
      </w:r>
    </w:p>
  </w:endnote>
  <w:endnote w:type="continuationSeparator" w:id="0">
    <w:p w14:paraId="35DC1FFE" w14:textId="77777777" w:rsidR="00C702DB" w:rsidRDefault="00C7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308C" w14:textId="77777777" w:rsidR="00C447D7" w:rsidRDefault="00C447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E2FA" w14:textId="77777777" w:rsidR="00C702DB" w:rsidRDefault="00C702DB">
      <w:r>
        <w:separator/>
      </w:r>
    </w:p>
  </w:footnote>
  <w:footnote w:type="continuationSeparator" w:id="0">
    <w:p w14:paraId="491908AD" w14:textId="77777777" w:rsidR="00C702DB" w:rsidRDefault="00C702DB">
      <w:r>
        <w:continuationSeparator/>
      </w:r>
    </w:p>
  </w:footnote>
  <w:footnote w:type="continuationNotice" w:id="1">
    <w:p w14:paraId="0EA9A4B6" w14:textId="77777777" w:rsidR="00C702DB" w:rsidRDefault="00C702DB"/>
  </w:footnote>
  <w:footnote w:id="2">
    <w:p w14:paraId="1EBCAA59" w14:textId="77777777" w:rsidR="00C447D7" w:rsidRPr="007038E4" w:rsidRDefault="00000000">
      <w:pPr>
        <w:pStyle w:val="a6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Министерство иностранных дел Китайской Народной Республики. [Электронный ресурс]. Режим доступа: </w:t>
      </w:r>
      <w:hyperlink r:id="rId1" w:history="1">
        <w:r w:rsidR="00C447D7">
          <w:rPr>
            <w:rStyle w:val="Hyperlink0"/>
            <w:rFonts w:eastAsia="DengXian"/>
          </w:rPr>
          <w:t>http</w:t>
        </w:r>
        <w:r w:rsidR="00C447D7">
          <w:rPr>
            <w:rStyle w:val="a7"/>
            <w:rFonts w:ascii="Times New Roman" w:hAnsi="Times New Roman"/>
            <w:lang w:val="ru-RU"/>
          </w:rPr>
          <w:t>://</w:t>
        </w:r>
        <w:r w:rsidR="00C447D7">
          <w:rPr>
            <w:rStyle w:val="Hyperlink0"/>
            <w:rFonts w:eastAsia="DengXian"/>
          </w:rPr>
          <w:t>www</w:t>
        </w:r>
        <w:r w:rsidR="00C447D7">
          <w:rPr>
            <w:rStyle w:val="a7"/>
            <w:rFonts w:ascii="Times New Roman" w:hAnsi="Times New Roman"/>
            <w:lang w:val="ru-RU"/>
          </w:rPr>
          <w:t>.</w:t>
        </w:r>
        <w:r w:rsidR="00C447D7">
          <w:rPr>
            <w:rStyle w:val="Hyperlink0"/>
            <w:rFonts w:eastAsia="DengXian"/>
          </w:rPr>
          <w:t>fmprc</w:t>
        </w:r>
        <w:r w:rsidR="00C447D7">
          <w:rPr>
            <w:rStyle w:val="a7"/>
            <w:rFonts w:ascii="Times New Roman" w:hAnsi="Times New Roman"/>
            <w:lang w:val="ru-RU"/>
          </w:rPr>
          <w:t>.</w:t>
        </w:r>
        <w:r w:rsidR="00C447D7">
          <w:rPr>
            <w:rStyle w:val="Hyperlink0"/>
            <w:rFonts w:eastAsia="DengXian"/>
          </w:rPr>
          <w:t>gov</w:t>
        </w:r>
        <w:r w:rsidR="00C447D7">
          <w:rPr>
            <w:rStyle w:val="a7"/>
            <w:rFonts w:ascii="Times New Roman" w:hAnsi="Times New Roman"/>
            <w:lang w:val="ru-RU"/>
          </w:rPr>
          <w:t>.</w:t>
        </w:r>
        <w:r w:rsidR="00C447D7">
          <w:rPr>
            <w:rStyle w:val="Hyperlink0"/>
            <w:rFonts w:eastAsia="DengXian"/>
          </w:rPr>
          <w:t>cn</w:t>
        </w:r>
      </w:hyperlink>
      <w:r>
        <w:rPr>
          <w:rFonts w:ascii="Times New Roman" w:hAnsi="Times New Roman"/>
          <w:lang w:val="ru-RU"/>
        </w:rPr>
        <w:t>. (Дата обращения: 02.03.2025)</w:t>
      </w:r>
    </w:p>
  </w:footnote>
  <w:footnote w:id="3">
    <w:p w14:paraId="46DFDD91" w14:textId="77777777" w:rsidR="00C447D7" w:rsidRDefault="00000000">
      <w:pPr>
        <w:pStyle w:val="a6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Динь Минь. Обзор и анализ 20-летнего развития китайско-российских отношений // Журнал «Академический фронт». </w:t>
      </w:r>
      <w:r w:rsidRPr="009C0CE4">
        <w:rPr>
          <w:rFonts w:ascii="Times New Roman" w:hAnsi="Times New Roman"/>
        </w:rPr>
        <w:t>2013. № 17.</w:t>
      </w:r>
    </w:p>
  </w:footnote>
  <w:footnote w:id="4">
    <w:p w14:paraId="1543D739" w14:textId="77777777" w:rsidR="00C447D7" w:rsidRPr="007038E4" w:rsidRDefault="00000000">
      <w:pPr>
        <w:pStyle w:val="a6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Gabuev</w:t>
      </w:r>
      <w:proofErr w:type="spellEnd"/>
      <w:r>
        <w:rPr>
          <w:rFonts w:ascii="Times New Roman" w:hAnsi="Times New Roman"/>
        </w:rPr>
        <w:t>, A. A. "Soft Alliance"? Russia-China Relations After the Ukraine Crisis [</w:t>
      </w:r>
      <w:proofErr w:type="spellStart"/>
      <w:r>
        <w:rPr>
          <w:rFonts w:ascii="Times New Roman" w:hAnsi="Times New Roman"/>
        </w:rPr>
        <w:t>Электронный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ресурс</w:t>
      </w:r>
      <w:proofErr w:type="spellEnd"/>
      <w:r>
        <w:rPr>
          <w:rFonts w:ascii="Times New Roman" w:hAnsi="Times New Roman"/>
        </w:rPr>
        <w:t xml:space="preserve">]. </w:t>
      </w:r>
      <w:r>
        <w:rPr>
          <w:rFonts w:ascii="Times New Roman" w:hAnsi="Times New Roman"/>
          <w:lang w:val="ru-RU"/>
        </w:rPr>
        <w:t xml:space="preserve">Режим доступа: </w:t>
      </w:r>
      <w:hyperlink r:id="rId2" w:history="1">
        <w:r w:rsidR="00C447D7">
          <w:rPr>
            <w:rStyle w:val="Hyperlink0"/>
            <w:rFonts w:eastAsia="DengXian"/>
          </w:rPr>
          <w:t>http</w:t>
        </w:r>
        <w:r w:rsidR="00C447D7">
          <w:rPr>
            <w:rStyle w:val="a7"/>
            <w:rFonts w:ascii="Times New Roman" w:hAnsi="Times New Roman"/>
            <w:lang w:val="ru-RU"/>
          </w:rPr>
          <w:t>://</w:t>
        </w:r>
        <w:r w:rsidR="00C447D7">
          <w:rPr>
            <w:rStyle w:val="Hyperlink0"/>
            <w:rFonts w:eastAsia="DengXian"/>
          </w:rPr>
          <w:t>www</w:t>
        </w:r>
        <w:r w:rsidR="00C447D7">
          <w:rPr>
            <w:rStyle w:val="a7"/>
            <w:rFonts w:ascii="Times New Roman" w:hAnsi="Times New Roman"/>
            <w:lang w:val="ru-RU"/>
          </w:rPr>
          <w:t>.</w:t>
        </w:r>
        <w:r w:rsidR="00C447D7">
          <w:rPr>
            <w:rStyle w:val="Hyperlink0"/>
            <w:rFonts w:eastAsia="DengXian"/>
          </w:rPr>
          <w:t>jstor</w:t>
        </w:r>
        <w:r w:rsidR="00C447D7">
          <w:rPr>
            <w:rStyle w:val="a7"/>
            <w:rFonts w:ascii="Times New Roman" w:hAnsi="Times New Roman"/>
            <w:lang w:val="ru-RU"/>
          </w:rPr>
          <w:t>.</w:t>
        </w:r>
        <w:r w:rsidR="00C447D7">
          <w:rPr>
            <w:rStyle w:val="Hyperlink0"/>
            <w:rFonts w:eastAsia="DengXian"/>
          </w:rPr>
          <w:t>com</w:t>
        </w:r>
        <w:r w:rsidR="00C447D7">
          <w:rPr>
            <w:rStyle w:val="a7"/>
            <w:rFonts w:ascii="Times New Roman" w:hAnsi="Times New Roman"/>
            <w:lang w:val="ru-RU"/>
          </w:rPr>
          <w:t>/</w:t>
        </w:r>
        <w:r w:rsidR="00C447D7">
          <w:rPr>
            <w:rStyle w:val="Hyperlink0"/>
            <w:rFonts w:eastAsia="DengXian"/>
          </w:rPr>
          <w:t>stable</w:t>
        </w:r>
        <w:r w:rsidR="00C447D7">
          <w:rPr>
            <w:rStyle w:val="a7"/>
            <w:rFonts w:ascii="Times New Roman" w:hAnsi="Times New Roman"/>
            <w:lang w:val="ru-RU"/>
          </w:rPr>
          <w:t>/</w:t>
        </w:r>
        <w:r w:rsidR="00C447D7">
          <w:rPr>
            <w:rStyle w:val="Hyperlink0"/>
            <w:rFonts w:eastAsia="DengXian"/>
          </w:rPr>
          <w:t>resrep</w:t>
        </w:r>
        <w:r w:rsidR="00C447D7">
          <w:rPr>
            <w:rStyle w:val="a7"/>
            <w:rFonts w:ascii="Times New Roman" w:hAnsi="Times New Roman"/>
            <w:lang w:val="ru-RU"/>
          </w:rPr>
          <w:t>21546</w:t>
        </w:r>
      </w:hyperlink>
      <w:r>
        <w:rPr>
          <w:rFonts w:ascii="Times New Roman" w:hAnsi="Times New Roman"/>
          <w:lang w:val="ru-RU"/>
        </w:rPr>
        <w:t>. (Дата обращения: 02.03.2025.)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72EA" w14:textId="77777777" w:rsidR="00C447D7" w:rsidRDefault="00C447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6269"/>
    <w:multiLevelType w:val="hybridMultilevel"/>
    <w:tmpl w:val="D9DA1F36"/>
    <w:numStyleLink w:val="a"/>
  </w:abstractNum>
  <w:abstractNum w:abstractNumId="1" w15:restartNumberingAfterBreak="0">
    <w:nsid w:val="4F570FAC"/>
    <w:multiLevelType w:val="hybridMultilevel"/>
    <w:tmpl w:val="D9DA1F36"/>
    <w:styleLink w:val="a"/>
    <w:lvl w:ilvl="0" w:tplc="D4D69D7E">
      <w:start w:val="1"/>
      <w:numFmt w:val="bullet"/>
      <w:lvlText w:val="•"/>
      <w:lvlJc w:val="left"/>
      <w:pPr>
        <w:tabs>
          <w:tab w:val="num" w:pos="266"/>
        </w:tabs>
        <w:ind w:left="1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5C0036">
      <w:start w:val="1"/>
      <w:numFmt w:val="bullet"/>
      <w:lvlText w:val="•"/>
      <w:lvlJc w:val="left"/>
      <w:pPr>
        <w:tabs>
          <w:tab w:val="num" w:pos="866"/>
        </w:tabs>
        <w:ind w:left="7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8A3E92">
      <w:start w:val="1"/>
      <w:numFmt w:val="bullet"/>
      <w:lvlText w:val="•"/>
      <w:lvlJc w:val="left"/>
      <w:pPr>
        <w:tabs>
          <w:tab w:val="num" w:pos="1466"/>
        </w:tabs>
        <w:ind w:left="13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A0E9C">
      <w:start w:val="1"/>
      <w:numFmt w:val="bullet"/>
      <w:lvlText w:val="•"/>
      <w:lvlJc w:val="left"/>
      <w:pPr>
        <w:tabs>
          <w:tab w:val="num" w:pos="2066"/>
        </w:tabs>
        <w:ind w:left="19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08B3E">
      <w:start w:val="1"/>
      <w:numFmt w:val="bullet"/>
      <w:lvlText w:val="•"/>
      <w:lvlJc w:val="left"/>
      <w:pPr>
        <w:tabs>
          <w:tab w:val="num" w:pos="2666"/>
        </w:tabs>
        <w:ind w:left="25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26356">
      <w:start w:val="1"/>
      <w:numFmt w:val="bullet"/>
      <w:lvlText w:val="•"/>
      <w:lvlJc w:val="left"/>
      <w:pPr>
        <w:tabs>
          <w:tab w:val="num" w:pos="3266"/>
        </w:tabs>
        <w:ind w:left="31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5A9AE8">
      <w:start w:val="1"/>
      <w:numFmt w:val="bullet"/>
      <w:lvlText w:val="•"/>
      <w:lvlJc w:val="left"/>
      <w:pPr>
        <w:tabs>
          <w:tab w:val="num" w:pos="3866"/>
        </w:tabs>
        <w:ind w:left="37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0B750">
      <w:start w:val="1"/>
      <w:numFmt w:val="bullet"/>
      <w:lvlText w:val="•"/>
      <w:lvlJc w:val="left"/>
      <w:pPr>
        <w:tabs>
          <w:tab w:val="num" w:pos="4466"/>
        </w:tabs>
        <w:ind w:left="43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0FEC">
      <w:start w:val="1"/>
      <w:numFmt w:val="bullet"/>
      <w:lvlText w:val="•"/>
      <w:lvlJc w:val="left"/>
      <w:pPr>
        <w:tabs>
          <w:tab w:val="num" w:pos="5066"/>
        </w:tabs>
        <w:ind w:left="4966" w:hanging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0724378">
    <w:abstractNumId w:val="1"/>
  </w:num>
  <w:num w:numId="2" w16cid:durableId="989021974">
    <w:abstractNumId w:val="0"/>
  </w:num>
  <w:num w:numId="3" w16cid:durableId="500897622">
    <w:abstractNumId w:val="0"/>
    <w:lvlOverride w:ilvl="0">
      <w:lvl w:ilvl="0" w:tplc="868070E6">
        <w:start w:val="1"/>
        <w:numFmt w:val="bullet"/>
        <w:lvlText w:val="•"/>
        <w:lvlJc w:val="left"/>
        <w:pPr>
          <w:tabs>
            <w:tab w:val="num" w:pos="406"/>
          </w:tabs>
          <w:ind w:left="1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D89B7C">
        <w:start w:val="1"/>
        <w:numFmt w:val="bullet"/>
        <w:lvlText w:val="•"/>
        <w:lvlJc w:val="left"/>
        <w:pPr>
          <w:tabs>
            <w:tab w:val="num" w:pos="1006"/>
          </w:tabs>
          <w:ind w:left="7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BED2AE">
        <w:start w:val="1"/>
        <w:numFmt w:val="bullet"/>
        <w:lvlText w:val="•"/>
        <w:lvlJc w:val="left"/>
        <w:pPr>
          <w:tabs>
            <w:tab w:val="num" w:pos="1606"/>
          </w:tabs>
          <w:ind w:left="13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907CBE">
        <w:start w:val="1"/>
        <w:numFmt w:val="bullet"/>
        <w:lvlText w:val="•"/>
        <w:lvlJc w:val="left"/>
        <w:pPr>
          <w:tabs>
            <w:tab w:val="num" w:pos="2206"/>
          </w:tabs>
          <w:ind w:left="19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7A11AA">
        <w:start w:val="1"/>
        <w:numFmt w:val="bullet"/>
        <w:lvlText w:val="•"/>
        <w:lvlJc w:val="left"/>
        <w:pPr>
          <w:tabs>
            <w:tab w:val="num" w:pos="2806"/>
          </w:tabs>
          <w:ind w:left="25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D4CD4E">
        <w:start w:val="1"/>
        <w:numFmt w:val="bullet"/>
        <w:lvlText w:val="•"/>
        <w:lvlJc w:val="left"/>
        <w:pPr>
          <w:tabs>
            <w:tab w:val="num" w:pos="3406"/>
          </w:tabs>
          <w:ind w:left="31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0A4DB6">
        <w:start w:val="1"/>
        <w:numFmt w:val="bullet"/>
        <w:lvlText w:val="•"/>
        <w:lvlJc w:val="left"/>
        <w:pPr>
          <w:tabs>
            <w:tab w:val="num" w:pos="4006"/>
          </w:tabs>
          <w:ind w:left="37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1A8FA2">
        <w:start w:val="1"/>
        <w:numFmt w:val="bullet"/>
        <w:lvlText w:val="•"/>
        <w:lvlJc w:val="left"/>
        <w:pPr>
          <w:tabs>
            <w:tab w:val="num" w:pos="4606"/>
          </w:tabs>
          <w:ind w:left="43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541628">
        <w:start w:val="1"/>
        <w:numFmt w:val="bullet"/>
        <w:lvlText w:val="•"/>
        <w:lvlJc w:val="left"/>
        <w:pPr>
          <w:tabs>
            <w:tab w:val="num" w:pos="5206"/>
          </w:tabs>
          <w:ind w:left="4966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D7"/>
    <w:rsid w:val="00545858"/>
    <w:rsid w:val="007038E4"/>
    <w:rsid w:val="00855595"/>
    <w:rsid w:val="009C0CE4"/>
    <w:rsid w:val="00A64752"/>
    <w:rsid w:val="00C447D7"/>
    <w:rsid w:val="00C702DB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59877"/>
  <w15:docId w15:val="{A1256F39-6282-CD42-8800-F6BB0256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DengXian" w:eastAsia="DengXian" w:hAnsi="DengXian" w:cs="DengXian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note text"/>
    <w:pPr>
      <w:widowControl w:val="0"/>
    </w:pPr>
    <w:rPr>
      <w:rFonts w:ascii="DengXian" w:eastAsia="DengXian" w:hAnsi="DengXian" w:cs="DengXian"/>
      <w:color w:val="000000"/>
      <w:kern w:val="2"/>
      <w:sz w:val="18"/>
      <w:szCs w:val="18"/>
      <w:u w:color="000000"/>
    </w:rPr>
  </w:style>
  <w:style w:type="character" w:customStyle="1" w:styleId="a7">
    <w:name w:val="Ссылка"/>
    <w:rPr>
      <w:outline w:val="0"/>
      <w:color w:val="467886"/>
      <w:u w:val="single" w:color="467886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467886"/>
      <w:u w:val="single" w:color="467886"/>
      <w:lang w:val="en-US"/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paragraph" w:styleId="a9">
    <w:name w:val="annotation text"/>
    <w:basedOn w:val="a0"/>
    <w:link w:val="aa"/>
    <w:uiPriority w:val="99"/>
    <w:semiHidden/>
    <w:unhideWhenUsed/>
    <w:pPr>
      <w:jc w:val="left"/>
    </w:pPr>
  </w:style>
  <w:style w:type="character" w:customStyle="1" w:styleId="aa">
    <w:name w:val="批注文字 字符"/>
    <w:basedOn w:val="a1"/>
    <w:link w:val="a9"/>
    <w:uiPriority w:val="99"/>
    <w:semiHidden/>
    <w:rPr>
      <w:rFonts w:ascii="DengXian" w:eastAsia="DengXian" w:hAnsi="DengXian" w:cs="DengXian"/>
      <w:color w:val="000000"/>
      <w:kern w:val="2"/>
      <w:sz w:val="21"/>
      <w:szCs w:val="21"/>
      <w:u w:color="000000"/>
    </w:rPr>
  </w:style>
  <w:style w:type="character" w:styleId="ab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c">
    <w:name w:val="Revision"/>
    <w:hidden/>
    <w:uiPriority w:val="99"/>
    <w:semiHidden/>
    <w:rsid w:val="007038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DengXian" w:eastAsia="DengXian" w:hAnsi="DengXian" w:cs="DengXian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stor.com/stable/resrep21546" TargetMode="External"/><Relationship Id="rId1" Type="http://schemas.openxmlformats.org/officeDocument/2006/relationships/hyperlink" Target="http://www.fmprc.gov.cn" TargetMode="Externa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4</cp:revision>
  <dcterms:created xsi:type="dcterms:W3CDTF">2025-03-02T17:32:00Z</dcterms:created>
  <dcterms:modified xsi:type="dcterms:W3CDTF">2025-03-02T17:41:00Z</dcterms:modified>
</cp:coreProperties>
</file>