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E59B" w14:textId="17CF79EF" w:rsidR="00364A18" w:rsidRPr="00E5235B" w:rsidRDefault="00364A18" w:rsidP="00364A18">
      <w:pPr>
        <w:spacing w:after="0" w:line="240" w:lineRule="auto"/>
        <w:ind w:left="136" w:right="1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35B">
        <w:rPr>
          <w:rFonts w:ascii="Times New Roman" w:hAnsi="Times New Roman" w:cs="Times New Roman"/>
          <w:b/>
          <w:bCs/>
          <w:sz w:val="24"/>
          <w:szCs w:val="24"/>
        </w:rPr>
        <w:t xml:space="preserve">Позиция иены в мировой финансовой системе в 2010-2024 </w:t>
      </w:r>
      <w:proofErr w:type="spellStart"/>
      <w:r w:rsidRPr="00E5235B">
        <w:rPr>
          <w:rFonts w:ascii="Times New Roman" w:hAnsi="Times New Roman" w:cs="Times New Roman"/>
          <w:b/>
          <w:bCs/>
          <w:sz w:val="24"/>
          <w:szCs w:val="24"/>
        </w:rPr>
        <w:t>гг</w:t>
      </w:r>
      <w:proofErr w:type="spellEnd"/>
    </w:p>
    <w:p w14:paraId="45E85DCD" w14:textId="1034CCB7" w:rsidR="00364A18" w:rsidRPr="00E5235B" w:rsidRDefault="00364A18" w:rsidP="00364A18">
      <w:pPr>
        <w:spacing w:after="0" w:line="240" w:lineRule="auto"/>
        <w:ind w:left="136" w:right="13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523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Мянник Диана Дмитриевна</w:t>
      </w:r>
      <w:r w:rsidRPr="00E5235B">
        <w:rPr>
          <w:rFonts w:ascii="Times New Roman" w:hAnsi="Times New Roman" w:cs="Times New Roman"/>
          <w:i/>
          <w:iCs/>
          <w:sz w:val="24"/>
          <w:szCs w:val="24"/>
        </w:rPr>
        <w:br/>
        <w:t>Студент бакалавриата</w:t>
      </w:r>
      <w:r w:rsidRPr="00E5235B">
        <w:rPr>
          <w:rFonts w:ascii="Times New Roman" w:hAnsi="Times New Roman" w:cs="Times New Roman"/>
          <w:i/>
          <w:iCs/>
          <w:sz w:val="24"/>
          <w:szCs w:val="24"/>
        </w:rPr>
        <w:br/>
        <w:t xml:space="preserve">Московский государственный университет </w:t>
      </w:r>
      <w:proofErr w:type="spellStart"/>
      <w:r w:rsidRPr="00E5235B">
        <w:rPr>
          <w:rFonts w:ascii="Times New Roman" w:hAnsi="Times New Roman" w:cs="Times New Roman"/>
          <w:i/>
          <w:iCs/>
          <w:sz w:val="24"/>
          <w:szCs w:val="24"/>
        </w:rPr>
        <w:t>им.Ломоносова</w:t>
      </w:r>
      <w:proofErr w:type="spellEnd"/>
      <w:r w:rsidRPr="00E5235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D529A" w:rsidRPr="00E5235B">
        <w:rPr>
          <w:rFonts w:ascii="Times New Roman" w:hAnsi="Times New Roman" w:cs="Times New Roman"/>
          <w:i/>
          <w:iCs/>
          <w:sz w:val="24"/>
          <w:szCs w:val="24"/>
        </w:rPr>
        <w:t xml:space="preserve"> Институт стран Азии и Африки,</w:t>
      </w:r>
      <w:r w:rsidRPr="00E5235B">
        <w:rPr>
          <w:rFonts w:ascii="Times New Roman" w:hAnsi="Times New Roman" w:cs="Times New Roman"/>
          <w:i/>
          <w:iCs/>
          <w:sz w:val="24"/>
          <w:szCs w:val="24"/>
        </w:rPr>
        <w:t xml:space="preserve"> Москва, Россия          </w:t>
      </w:r>
    </w:p>
    <w:p w14:paraId="2C39EC8D" w14:textId="7FFB3F1C" w:rsidR="00364A18" w:rsidRPr="00E5235B" w:rsidRDefault="00364A18" w:rsidP="000C2137">
      <w:pPr>
        <w:spacing w:after="0" w:line="240" w:lineRule="auto"/>
        <w:ind w:left="136" w:right="13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E5235B">
        <w:rPr>
          <w:rFonts w:ascii="Times New Roman" w:hAnsi="Times New Roman" w:cs="Times New Roman"/>
          <w:i/>
          <w:iCs/>
          <w:sz w:val="24"/>
          <w:szCs w:val="24"/>
        </w:rPr>
        <w:t>E-mail:diana</w:t>
      </w:r>
      <w:proofErr w:type="spellEnd"/>
      <w:r w:rsidRPr="00E5235B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E5235B">
        <w:rPr>
          <w:rFonts w:ascii="Times New Roman" w:hAnsi="Times New Roman" w:cs="Times New Roman"/>
          <w:i/>
          <w:iCs/>
          <w:sz w:val="24"/>
          <w:szCs w:val="24"/>
          <w:lang w:val="en-US"/>
        </w:rPr>
        <w:t>myannik</w:t>
      </w:r>
      <w:proofErr w:type="spellEnd"/>
      <w:r w:rsidRPr="00E5235B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E5235B">
        <w:rPr>
          <w:rFonts w:ascii="Times New Roman" w:hAnsi="Times New Roman" w:cs="Times New Roman"/>
          <w:i/>
          <w:iCs/>
          <w:sz w:val="24"/>
          <w:szCs w:val="24"/>
          <w:lang w:val="en-US"/>
        </w:rPr>
        <w:t>mgu</w:t>
      </w:r>
      <w:proofErr w:type="spellEnd"/>
      <w:r w:rsidRPr="00E5235B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Pr="00E5235B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E5235B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E5235B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  <w:proofErr w:type="gramEnd"/>
    </w:p>
    <w:p w14:paraId="03C1CEE4" w14:textId="77777777" w:rsidR="000C2137" w:rsidRPr="00E5235B" w:rsidRDefault="00A91E6D" w:rsidP="00FE103D">
      <w:pPr>
        <w:spacing w:before="20" w:after="20" w:line="240" w:lineRule="auto"/>
        <w:ind w:left="136" w:right="136" w:firstLine="397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В условиях серьезных сдвигов в мировой финансовой системе особый интерес вызывает анализ экономических и политических факторов формирования современных мировых валют. В этом отношении опыт Японии может представлять большой интерес для стран, которые в настоящее время проводят</w:t>
      </w:r>
      <w:r w:rsidR="00364A18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AC7D30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активную</w:t>
      </w:r>
      <w:r w:rsidR="00364A18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политику по интернационализации денежных функций своих национальных валют.  </w:t>
      </w:r>
    </w:p>
    <w:p w14:paraId="758E9D2E" w14:textId="5BDF72CF" w:rsidR="000C2137" w:rsidRPr="00E5235B" w:rsidRDefault="00A650DA" w:rsidP="00FE103D">
      <w:pPr>
        <w:spacing w:before="20" w:after="20" w:line="240" w:lineRule="auto"/>
        <w:ind w:left="136" w:right="136" w:firstLine="397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Под интернационализацией национальных валют понимают процесс расширения использования валюты в международных сделках в качестве единицы счета, платежа и накопления.</w:t>
      </w:r>
      <w:r w:rsidR="00D63F8D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[5]</w:t>
      </w:r>
    </w:p>
    <w:p w14:paraId="756CA9D3" w14:textId="77777777" w:rsidR="000C2137" w:rsidRPr="00E5235B" w:rsidRDefault="006457CF" w:rsidP="00FE103D">
      <w:pPr>
        <w:spacing w:before="20" w:after="20" w:line="240" w:lineRule="auto"/>
        <w:ind w:left="136" w:right="136" w:firstLine="397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В данном исследовании мы попытаемся на основе анализа выполнения иеной основных функций международной валюты</w:t>
      </w:r>
      <w:r w:rsidR="00AE24D5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проследить в динамике сложный и изменяющийся характер взаимодействия внутренних и внешних факторов, предопределяющих готовность частного капитала и </w:t>
      </w:r>
      <w:r w:rsidR="007253FA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иностранных </w:t>
      </w:r>
      <w:r w:rsidR="00AE24D5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государств принимать ту или иную национальную валюту в качестве международной денежной единицы; выявить ключевые факторы, которые способствовали или препятствовали интернационализации иены на разных этапах этого процесса, начиная с 80-х годов прошлого века</w:t>
      </w:r>
      <w:r w:rsidR="000C2137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3CD3658A" w14:textId="77777777" w:rsidR="000C2137" w:rsidRPr="00E5235B" w:rsidRDefault="00AE24D5" w:rsidP="00FE103D">
      <w:pPr>
        <w:spacing w:before="20" w:after="20" w:line="240" w:lineRule="auto"/>
        <w:ind w:left="136" w:right="136" w:firstLine="397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Япония имеет достаточно противоречивый и интересный опыт</w:t>
      </w:r>
      <w:r w:rsidR="002E3AC7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 интернационализации национальной валюты.</w:t>
      </w:r>
    </w:p>
    <w:p w14:paraId="63508824" w14:textId="77777777" w:rsidR="000C2137" w:rsidRPr="00E5235B" w:rsidRDefault="00B86896" w:rsidP="00FE103D">
      <w:pPr>
        <w:spacing w:before="20" w:after="20" w:line="240" w:lineRule="auto"/>
        <w:ind w:left="136" w:right="136" w:firstLine="397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Почему, например, иена не смогла сколько-нибудь приблизиться к уровню востребованности доллара</w:t>
      </w:r>
      <w:r w:rsidR="006457CF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в международных расчетах даже</w:t>
      </w:r>
      <w:r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в условиях, когда Япония устойчиво </w:t>
      </w:r>
      <w:r w:rsidR="006457CF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являлась второй после США экономикой мира, превратилась в крупнейшего мирового экспортера товаров и капитала? </w:t>
      </w:r>
      <w:r w:rsidR="00361B79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И это с учетом</w:t>
      </w:r>
      <w:r w:rsidR="00AE24D5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6457CF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активной поддержк</w:t>
      </w:r>
      <w:r w:rsidR="00361B79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и</w:t>
      </w:r>
      <w:r w:rsidR="006457CF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со стороны </w:t>
      </w:r>
      <w:r w:rsidR="007253FA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США самой</w:t>
      </w:r>
      <w:r w:rsidR="005B4A43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6457CF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идеи интернационализации иены</w:t>
      </w:r>
      <w:r w:rsidR="00361B79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в 1980- 200</w:t>
      </w:r>
      <w:r w:rsidR="003E7AA1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0-е</w:t>
      </w:r>
      <w:r w:rsidR="00361B79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гг.</w:t>
      </w:r>
      <w:r w:rsidR="006457CF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?</w:t>
      </w:r>
    </w:p>
    <w:p w14:paraId="56A57E5C" w14:textId="77777777" w:rsidR="000C2137" w:rsidRPr="00E5235B" w:rsidRDefault="00361B79" w:rsidP="00FE103D">
      <w:pPr>
        <w:spacing w:before="20" w:after="20" w:line="240" w:lineRule="auto"/>
        <w:ind w:left="136" w:right="136" w:firstLine="397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Почему </w:t>
      </w:r>
      <w:r w:rsidR="007253FA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неожиданно, на фоне кризисного состояния японской </w:t>
      </w:r>
      <w:r w:rsidR="006518B2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экономики в 90-е </w:t>
      </w:r>
      <w:r w:rsidR="003E7AA1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годы,</w:t>
      </w:r>
      <w:r w:rsidR="005D198A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резко</w:t>
      </w:r>
      <w:r w:rsidR="007253FA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вырос интерес международных </w:t>
      </w:r>
      <w:r w:rsidR="005D198A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финансовых рынков к</w:t>
      </w:r>
      <w:r w:rsidR="007253FA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иене, заметно </w:t>
      </w:r>
      <w:r w:rsidR="005D198A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увеличились требования</w:t>
      </w:r>
      <w:r w:rsidR="007253FA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A907A4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в иенах к японским банкам и </w:t>
      </w:r>
      <w:r w:rsidR="007253FA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японских банков в иенах к миру</w:t>
      </w:r>
      <w:r w:rsidR="00992D2A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, возрос интерес нерезидентов к сделкам в иенах, в том числе на FOREX</w:t>
      </w:r>
      <w:r w:rsidR="005D198A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?</w:t>
      </w:r>
    </w:p>
    <w:p w14:paraId="68A70FCD" w14:textId="2909D449" w:rsidR="000C2137" w:rsidRPr="00E5235B" w:rsidRDefault="006518B2" w:rsidP="00FE103D">
      <w:pPr>
        <w:spacing w:before="20" w:after="20" w:line="240" w:lineRule="auto"/>
        <w:ind w:left="136" w:right="136" w:firstLine="397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Идея интернационализации иены не всегда была популярна в Японии, и сам процесс начался во многом под воздействием США, однако, в дальнейшем становятся очевидными усилия властей Японии по расширению международного использования иены. Особенно успешными в этом отношении были 70- 80-е годы на фоне бума в</w:t>
      </w:r>
      <w:r w:rsidR="006C3EE2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японской</w:t>
      </w:r>
      <w:r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экономике. Доля иены в фактурировании экспорта выросла с 17% в 1975 году до 42% в 1983 г., трансграничные активы японских банков - с 3% мировых трансграничных требований банков в 1983 году до 14.5% в 1988 г., в конце 80-х годов экспорт капитала из Японии превосходил совокупный объем экспорта капитала из США и Европы. Доля иены в мировых ОВР выросла с 0.5% в 1975 г. до 7.0</w:t>
      </w:r>
      <w:r w:rsidR="003E7AA1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%</w:t>
      </w:r>
      <w:r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в 1987 г. Период мощной экспансии японских банков, </w:t>
      </w:r>
      <w:r w:rsidR="006C3EE2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промышленных и </w:t>
      </w:r>
      <w:r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страховых компаний, завершился </w:t>
      </w:r>
      <w:r w:rsidR="006C3EE2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также внезапно, как и </w:t>
      </w:r>
      <w:r w:rsidR="00DC0648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начался: вместе</w:t>
      </w:r>
      <w:r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с крахом экономики мыльного пузыря.</w:t>
      </w:r>
      <w:r w:rsidR="00E21E71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[</w:t>
      </w:r>
      <w:r w:rsidR="00D63F8D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6</w:t>
      </w:r>
      <w:r w:rsidR="00E21E71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]</w:t>
      </w:r>
    </w:p>
    <w:p w14:paraId="7D061B4A" w14:textId="77777777" w:rsidR="000C2137" w:rsidRPr="00E5235B" w:rsidRDefault="006518B2" w:rsidP="00FE103D">
      <w:pPr>
        <w:spacing w:before="20" w:after="20" w:line="240" w:lineRule="auto"/>
        <w:ind w:left="136" w:right="136" w:firstLine="397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Однако, группа по продвижению интернационализации иены продолжала работать все 90-е годы. Но к 2003 году стало очевидным, что дальнейшие усилия в этом направлении без изменения состояния экономики</w:t>
      </w:r>
      <w:r w:rsidR="00390081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, находящейся в структурном кризисе</w:t>
      </w:r>
      <w:r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, без усиления сотрудничества в Азиатском регионе неэффективны. В политике Японии произошел сдвиг фокуса с интернационализации иены на интернационализацию национальных финансовых рынков. </w:t>
      </w:r>
      <w:r w:rsidR="00E21E71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[1]</w:t>
      </w:r>
    </w:p>
    <w:p w14:paraId="218C0950" w14:textId="37AEF516" w:rsidR="000C2137" w:rsidRPr="00E5235B" w:rsidRDefault="00DC0648" w:rsidP="00FE103D">
      <w:pPr>
        <w:spacing w:before="20" w:after="20" w:line="240" w:lineRule="auto"/>
        <w:ind w:left="136" w:right="136" w:firstLine="397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За период с 2010 по 2024 г. коренных изменений в международном статусе иены не произошло: </w:t>
      </w:r>
      <w:r w:rsidR="003E7AA1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иена устойчиво сохраняет за собой 3</w:t>
      </w:r>
      <w:r w:rsidR="00992D2A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-е место в иерархии ведущих международных валют, уступая, правда с большим </w:t>
      </w:r>
      <w:r w:rsidR="003E7AA1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отрывом, только</w:t>
      </w:r>
      <w:r w:rsidR="00992D2A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доллару США и евро.</w:t>
      </w:r>
      <w:r w:rsidR="00E21E71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[2]</w:t>
      </w:r>
      <w:r w:rsidR="00DE375B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C32F1C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П</w:t>
      </w:r>
      <w:r w:rsidR="00992D2A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о масштабам </w:t>
      </w:r>
      <w:r w:rsidR="00C32F1C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востребованности в</w:t>
      </w:r>
      <w:r w:rsidR="00992D2A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C32F1C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реализации </w:t>
      </w:r>
      <w:r w:rsidR="00992D2A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различных форм </w:t>
      </w:r>
      <w:r w:rsidR="00C32F1C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международных сделок статус иены может быть охарактеризован, наряду с евро, как статус региональной международной валюты</w:t>
      </w:r>
      <w:r w:rsidR="003E7AA1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;</w:t>
      </w:r>
      <w:r w:rsidR="00C32F1C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992D2A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сохраняется</w:t>
      </w:r>
      <w:r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и такая отличительная черта в международном позиционировании иены, как </w:t>
      </w:r>
      <w:r w:rsidR="003E7AA1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992D2A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удивительно низкий по сравнению с долларом и </w:t>
      </w:r>
      <w:r w:rsidR="00C32F1C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евро уровень</w:t>
      </w:r>
      <w:r w:rsidR="00992D2A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использования иены в фактурировании международных торговых сделок</w:t>
      </w:r>
      <w:r w:rsidR="000C2137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.[5]</w:t>
      </w:r>
      <w:r w:rsidR="006518B2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6C3EE2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Вместе с тем в период после глобального финансового кризиса </w:t>
      </w:r>
      <w:r w:rsidR="00FA139F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заметно вырос интерес нерезидентов к операциям с иеной на финансовых рынках.</w:t>
      </w:r>
      <w:r w:rsidR="00E43E82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6C3EE2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В 2020-х годах п</w:t>
      </w:r>
      <w:r w:rsidR="00E43E82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о активности торгов на Форексе пара доллар-иена уступает только паре доллар-евро, опережая объемы торговли по паре доллар-фунт, доллар-юань</w:t>
      </w:r>
      <w:r w:rsidR="000C2137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  <w:r w:rsidR="00E21E71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[3]</w:t>
      </w:r>
      <w:r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390081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Однако, как и </w:t>
      </w:r>
      <w:r w:rsidR="00066CCD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прежде, международное</w:t>
      </w:r>
      <w:r w:rsidR="00390081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использование иены не соразмерно, не соответствует роли Японии в мировой экономике, статусу страны- крупнейшего кредитора мира.</w:t>
      </w:r>
    </w:p>
    <w:p w14:paraId="4E1F8719" w14:textId="5387F342" w:rsidR="00600413" w:rsidRPr="00E5235B" w:rsidRDefault="00600413" w:rsidP="00FE103D">
      <w:pPr>
        <w:spacing w:before="20" w:after="20" w:line="240" w:lineRule="auto"/>
        <w:ind w:left="136" w:right="136" w:firstLine="397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К основным причинам относительно низкой востребованности иены </w:t>
      </w:r>
      <w:r w:rsidR="0094475F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в качестве единицы счета, платежа и накопления на международных рынках можно отнести высокую волатильность курса иены к доллару, </w:t>
      </w:r>
      <w:r w:rsidR="00DC0648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более позднюю и осторожную либерализацию финансовых рынков, </w:t>
      </w:r>
      <w:r w:rsidR="00034A36" w:rsidRPr="00E5235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не всегда последовательную валютную политику, особенности выбора ценовой политики японскими экспортными фирмами. </w:t>
      </w:r>
    </w:p>
    <w:p w14:paraId="03A25A0E" w14:textId="2C494AF7" w:rsidR="00E21E71" w:rsidRPr="00E5235B" w:rsidRDefault="00E21E71" w:rsidP="00BA49F0">
      <w:pPr>
        <w:spacing w:before="20" w:after="20" w:line="240" w:lineRule="auto"/>
        <w:ind w:left="136" w:right="136" w:firstLine="397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E5235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Литература</w:t>
      </w:r>
    </w:p>
    <w:p w14:paraId="16954D7A" w14:textId="5113B2C8" w:rsidR="000C2137" w:rsidRPr="00E5235B" w:rsidRDefault="00E21E71" w:rsidP="00FE103D">
      <w:pPr>
        <w:pStyle w:val="a6"/>
        <w:numPr>
          <w:ilvl w:val="0"/>
          <w:numId w:val="1"/>
        </w:numPr>
        <w:spacing w:before="20" w:after="20" w:line="240" w:lineRule="auto"/>
        <w:ind w:left="136" w:right="136"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23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Beate </w:t>
      </w:r>
      <w:proofErr w:type="spellStart"/>
      <w:r w:rsidRPr="00E5235B">
        <w:rPr>
          <w:rFonts w:ascii="Times New Roman" w:eastAsia="Times New Roman" w:hAnsi="Times New Roman" w:cs="Times New Roman"/>
          <w:sz w:val="24"/>
          <w:szCs w:val="24"/>
          <w:lang w:val="en-US"/>
        </w:rPr>
        <w:t>Reszat</w:t>
      </w:r>
      <w:proofErr w:type="spellEnd"/>
      <w:r w:rsidRPr="00E523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(2001) THE JAPANESE FOREIGN EXCHANGE MARKET. New York: </w:t>
      </w:r>
      <w:proofErr w:type="spellStart"/>
      <w:r w:rsidRPr="00E5235B">
        <w:rPr>
          <w:rFonts w:ascii="Times New Roman" w:eastAsia="Times New Roman" w:hAnsi="Times New Roman" w:cs="Times New Roman"/>
          <w:sz w:val="24"/>
          <w:szCs w:val="24"/>
          <w:lang w:val="en-US"/>
        </w:rPr>
        <w:t>Routage</w:t>
      </w:r>
      <w:proofErr w:type="spellEnd"/>
      <w:r w:rsidRPr="00E523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BDAF1B0" w14:textId="1993AAFF" w:rsidR="00E21E71" w:rsidRPr="00E5235B" w:rsidRDefault="00E21E71" w:rsidP="00FE103D">
      <w:pPr>
        <w:pStyle w:val="a6"/>
        <w:numPr>
          <w:ilvl w:val="0"/>
          <w:numId w:val="1"/>
        </w:numPr>
        <w:spacing w:before="20" w:after="20" w:line="240" w:lineRule="auto"/>
        <w:ind w:left="136" w:right="136"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235B">
        <w:rPr>
          <w:rFonts w:ascii="Times New Roman" w:eastAsia="Times New Roman" w:hAnsi="Times New Roman" w:cs="Times New Roman"/>
          <w:sz w:val="24"/>
          <w:szCs w:val="24"/>
          <w:lang w:val="en-US"/>
        </w:rPr>
        <w:t>Currency Composition by International Currency Use // Asia Regional Integration Center</w:t>
      </w:r>
      <w:r w:rsidR="000C2137" w:rsidRPr="00E5235B">
        <w:rPr>
          <w:rFonts w:ascii="Times New Roman" w:eastAsia="Times New Roman" w:hAnsi="Times New Roman" w:cs="Times New Roman"/>
          <w:sz w:val="24"/>
          <w:szCs w:val="24"/>
          <w:lang w:val="en-US"/>
        </w:rPr>
        <w:t>//URL:</w:t>
      </w:r>
      <w:r w:rsidR="00D63F8D">
        <w:fldChar w:fldCharType="begin"/>
      </w:r>
      <w:r w:rsidR="00D63F8D" w:rsidRPr="00BA49F0">
        <w:rPr>
          <w:lang w:val="en-US"/>
        </w:rPr>
        <w:instrText>HYPERLINK "https://aric.adb.org/database/aeir-datacatalogue?tm=3359"</w:instrText>
      </w:r>
      <w:r w:rsidR="00D63F8D">
        <w:fldChar w:fldCharType="separate"/>
      </w:r>
      <w:r w:rsidR="00D63F8D" w:rsidRPr="00E5235B">
        <w:rPr>
          <w:rStyle w:val="a7"/>
          <w:rFonts w:ascii="Times New Roman" w:eastAsia="Times New Roman" w:hAnsi="Times New Roman" w:cs="Times New Roman"/>
          <w:sz w:val="24"/>
          <w:szCs w:val="24"/>
          <w:lang w:val="en-US"/>
        </w:rPr>
        <w:t>https://aric.adb.org/database/aeir-datacatalogue?tm=3359</w:t>
      </w:r>
      <w:r w:rsidR="00D63F8D">
        <w:fldChar w:fldCharType="end"/>
      </w:r>
      <w:r w:rsidR="00D63F8D" w:rsidRPr="00E523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24796BA" w14:textId="59F590E5" w:rsidR="005D198A" w:rsidRPr="00E5235B" w:rsidRDefault="00E21E71" w:rsidP="00FE103D">
      <w:pPr>
        <w:pStyle w:val="a6"/>
        <w:numPr>
          <w:ilvl w:val="0"/>
          <w:numId w:val="1"/>
        </w:numPr>
        <w:spacing w:before="20" w:after="20" w:line="240" w:lineRule="auto"/>
        <w:ind w:left="136" w:right="136"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235B">
        <w:rPr>
          <w:rFonts w:ascii="Times New Roman" w:eastAsia="Times New Roman" w:hAnsi="Times New Roman" w:cs="Times New Roman"/>
          <w:sz w:val="24"/>
          <w:szCs w:val="24"/>
          <w:lang w:val="en-US"/>
        </w:rPr>
        <w:t>OTC foreign exchange turnover in April 2022 //BIS//</w:t>
      </w:r>
      <w:proofErr w:type="spellStart"/>
      <w:r w:rsidRPr="00E5235B">
        <w:rPr>
          <w:rFonts w:ascii="Times New Roman" w:eastAsia="Times New Roman" w:hAnsi="Times New Roman" w:cs="Times New Roman"/>
          <w:sz w:val="24"/>
          <w:szCs w:val="24"/>
          <w:lang w:val="en-US"/>
        </w:rPr>
        <w:t>URL:</w:t>
      </w:r>
      <w:r w:rsidR="00D63F8D">
        <w:fldChar w:fldCharType="begin"/>
      </w:r>
      <w:proofErr w:type="spellEnd"/>
      <w:r w:rsidR="00D63F8D" w:rsidRPr="00BA49F0">
        <w:rPr>
          <w:lang w:val="en-US"/>
        </w:rPr>
        <w:instrText>HYPERLINK "https://www.bis.org/statistics/rpfx22_fx.pdf"</w:instrText>
      </w:r>
      <w:proofErr w:type="spellStart"/>
      <w:r w:rsidR="00D63F8D">
        <w:fldChar w:fldCharType="separate"/>
      </w:r>
      <w:r w:rsidR="00D63F8D" w:rsidRPr="00E5235B">
        <w:rPr>
          <w:rStyle w:val="a7"/>
          <w:rFonts w:ascii="Times New Roman" w:eastAsia="Times New Roman" w:hAnsi="Times New Roman" w:cs="Times New Roman"/>
          <w:sz w:val="24"/>
          <w:szCs w:val="24"/>
          <w:lang w:val="en-US"/>
        </w:rPr>
        <w:t>https</w:t>
      </w:r>
      <w:proofErr w:type="spellEnd"/>
      <w:r w:rsidR="00D63F8D" w:rsidRPr="00E5235B">
        <w:rPr>
          <w:rStyle w:val="a7"/>
          <w:rFonts w:ascii="Times New Roman" w:eastAsia="Times New Roman" w:hAnsi="Times New Roman" w:cs="Times New Roman"/>
          <w:sz w:val="24"/>
          <w:szCs w:val="24"/>
          <w:lang w:val="en-US"/>
        </w:rPr>
        <w:t>://www.bis.org/statistics/rpfx22_fx.pdf</w:t>
      </w:r>
      <w:r w:rsidR="00D63F8D">
        <w:fldChar w:fldCharType="end"/>
      </w:r>
    </w:p>
    <w:p w14:paraId="2B6D1561" w14:textId="520C04E2" w:rsidR="00D63F8D" w:rsidRPr="00E5235B" w:rsidRDefault="000C2137" w:rsidP="00FE103D">
      <w:pPr>
        <w:pStyle w:val="a6"/>
        <w:numPr>
          <w:ilvl w:val="0"/>
          <w:numId w:val="1"/>
        </w:numPr>
        <w:spacing w:before="20" w:after="20" w:line="240" w:lineRule="auto"/>
        <w:ind w:left="136" w:right="136"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23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Shimizu J., Sato K., Ito T., Yoshimi T., Yoshida Y., Yoshimoto U. Invoice Currency Choice and its Determinants in Japanese </w:t>
      </w:r>
      <w:proofErr w:type="spellStart"/>
      <w:r w:rsidRPr="00E5235B">
        <w:rPr>
          <w:rFonts w:ascii="Times New Roman" w:eastAsia="Times New Roman" w:hAnsi="Times New Roman" w:cs="Times New Roman"/>
          <w:sz w:val="24"/>
          <w:szCs w:val="24"/>
          <w:lang w:val="en-US"/>
        </w:rPr>
        <w:t>Trade:New</w:t>
      </w:r>
      <w:proofErr w:type="spellEnd"/>
      <w:r w:rsidRPr="00E523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Evidence from Japanese Customs Data,  2024//URL:</w:t>
      </w:r>
      <w:r w:rsidR="00D63F8D">
        <w:fldChar w:fldCharType="begin"/>
      </w:r>
      <w:r w:rsidR="00D63F8D" w:rsidRPr="00BA49F0">
        <w:rPr>
          <w:lang w:val="en-US"/>
        </w:rPr>
        <w:instrText>HYPERLINK "https://www.jsie.jp/Annual_Meeting/2024s_Tohoku_Gakuin_Univ/pdf/G-2_Shimizu-Junko-full-paper.pdf"</w:instrText>
      </w:r>
      <w:r w:rsidR="00D63F8D">
        <w:fldChar w:fldCharType="separate"/>
      </w:r>
      <w:r w:rsidR="00D63F8D" w:rsidRPr="00E5235B">
        <w:rPr>
          <w:rStyle w:val="a7"/>
          <w:rFonts w:ascii="Times New Roman" w:eastAsia="Times New Roman" w:hAnsi="Times New Roman" w:cs="Times New Roman"/>
          <w:sz w:val="24"/>
          <w:szCs w:val="24"/>
          <w:lang w:val="en-US"/>
        </w:rPr>
        <w:t>https://www.jsie.jp/Annual_Meeting/2024s_Tohoku_Gakuin_Univ/pdf/G-2_Shimizu-Junko-full-paper.pdf</w:t>
      </w:r>
      <w:r w:rsidR="00D63F8D">
        <w:fldChar w:fldCharType="end"/>
      </w:r>
      <w:r w:rsidR="00D63F8D" w:rsidRPr="00E523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3B41CF4" w14:textId="2B0BDDC4" w:rsidR="00D63F8D" w:rsidRPr="00E5235B" w:rsidRDefault="00D63F8D" w:rsidP="00FE103D">
      <w:pPr>
        <w:pStyle w:val="a6"/>
        <w:numPr>
          <w:ilvl w:val="0"/>
          <w:numId w:val="1"/>
        </w:numPr>
        <w:spacing w:before="20" w:after="20" w:line="240" w:lineRule="auto"/>
        <w:ind w:left="136" w:right="136"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23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Takagi S. </w:t>
      </w:r>
      <w:proofErr w:type="spellStart"/>
      <w:r w:rsidRPr="00E5235B">
        <w:rPr>
          <w:rFonts w:ascii="Times New Roman" w:eastAsia="Times New Roman" w:hAnsi="Times New Roman" w:cs="Times New Roman"/>
          <w:sz w:val="24"/>
          <w:szCs w:val="24"/>
          <w:lang w:val="en-US"/>
        </w:rPr>
        <w:t>Internationalising</w:t>
      </w:r>
      <w:proofErr w:type="spellEnd"/>
      <w:r w:rsidRPr="00E523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yen, 1984–2003: unfinished agenda or mission </w:t>
      </w:r>
      <w:proofErr w:type="gramStart"/>
      <w:r w:rsidRPr="00E5235B">
        <w:rPr>
          <w:rFonts w:ascii="Times New Roman" w:eastAsia="Times New Roman" w:hAnsi="Times New Roman" w:cs="Times New Roman"/>
          <w:sz w:val="24"/>
          <w:szCs w:val="24"/>
          <w:lang w:val="en-US"/>
        </w:rPr>
        <w:t>impossible?//BIS//URL</w:t>
      </w:r>
      <w:proofErr w:type="gramEnd"/>
      <w:r w:rsidRPr="00E5235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E52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fldChar w:fldCharType="begin"/>
      </w:r>
      <w:r w:rsidRPr="00BA49F0">
        <w:rPr>
          <w:lang w:val="en-US"/>
        </w:rPr>
        <w:instrText>HYPERLINK "https://www.bis.org/publ/bppdf/bispap61g.pdf"</w:instrText>
      </w:r>
      <w:r>
        <w:fldChar w:fldCharType="separate"/>
      </w:r>
      <w:r w:rsidRPr="00E5235B">
        <w:rPr>
          <w:rStyle w:val="a7"/>
          <w:rFonts w:ascii="Times New Roman" w:eastAsia="Times New Roman" w:hAnsi="Times New Roman" w:cs="Times New Roman"/>
          <w:sz w:val="24"/>
          <w:szCs w:val="24"/>
          <w:lang w:val="en-US"/>
        </w:rPr>
        <w:t>https://www.bis.org/publ/bppdf/bispap61g.pdf</w:t>
      </w:r>
      <w:r>
        <w:fldChar w:fldCharType="end"/>
      </w:r>
      <w:r w:rsidRPr="00E523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09A71E9" w14:textId="4F1B5A2E" w:rsidR="000C2137" w:rsidRPr="00E5235B" w:rsidRDefault="00E21E71" w:rsidP="00FE103D">
      <w:pPr>
        <w:pStyle w:val="a6"/>
        <w:numPr>
          <w:ilvl w:val="0"/>
          <w:numId w:val="1"/>
        </w:numPr>
        <w:spacing w:before="20" w:after="20" w:line="240" w:lineRule="auto"/>
        <w:ind w:left="136" w:right="136" w:firstLine="39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</w:pPr>
      <w:r>
        <w:fldChar w:fldCharType="begin"/>
      </w:r>
      <w:r w:rsidRPr="00BA49F0">
        <w:rPr>
          <w:lang w:val="en-US"/>
        </w:rPr>
        <w:instrText>HYPERLINK "https://www.imf.org/en/Publications/Publications-By-Author?author=George+S+Tavlas&amp;name=George%20S%20Tavlas"</w:instrText>
      </w:r>
      <w:r>
        <w:fldChar w:fldCharType="separate"/>
      </w:r>
      <w:proofErr w:type="spellStart"/>
      <w:r w:rsidRPr="00E5235B">
        <w:rPr>
          <w:rFonts w:ascii="Times New Roman" w:eastAsia="Times New Roman" w:hAnsi="Times New Roman" w:cs="Times New Roman"/>
          <w:sz w:val="24"/>
          <w:szCs w:val="24"/>
          <w:lang w:val="en-US"/>
        </w:rPr>
        <w:t>Tavlas</w:t>
      </w:r>
      <w:proofErr w:type="spellEnd"/>
      <w:r w:rsidRPr="00E523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S.G.,</w:t>
      </w:r>
      <w:r>
        <w:fldChar w:fldCharType="end"/>
      </w:r>
      <w:hyperlink r:id="rId5" w:history="1">
        <w:r w:rsidRPr="00E5235B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Ozeki</w:t>
        </w:r>
      </w:hyperlink>
      <w:r w:rsidRPr="00E523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Y. The Japanese Yen as an International Currency, 1991//IMF//URL:</w:t>
      </w:r>
      <w:hyperlink r:id="rId6" w:history="1">
        <w:r w:rsidR="00D63F8D" w:rsidRPr="00E5235B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https://www.imf.org/en/Publications/WP/Issues/2016/12/30/The-Japanese-Yen-as-an-International-Currency-878</w:t>
        </w:r>
      </w:hyperlink>
    </w:p>
    <w:sectPr w:rsidR="000C2137" w:rsidRPr="00E5235B" w:rsidSect="000C2137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16EF3"/>
    <w:multiLevelType w:val="hybridMultilevel"/>
    <w:tmpl w:val="81ECA178"/>
    <w:lvl w:ilvl="0" w:tplc="263888EE">
      <w:start w:val="1"/>
      <w:numFmt w:val="decimal"/>
      <w:lvlText w:val="%1."/>
      <w:lvlJc w:val="left"/>
      <w:pPr>
        <w:ind w:left="1169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3" w:hanging="360"/>
      </w:pPr>
    </w:lvl>
    <w:lvl w:ilvl="2" w:tplc="0419001B" w:tentative="1">
      <w:start w:val="1"/>
      <w:numFmt w:val="lowerRoman"/>
      <w:lvlText w:val="%3."/>
      <w:lvlJc w:val="right"/>
      <w:pPr>
        <w:ind w:left="2393" w:hanging="180"/>
      </w:pPr>
    </w:lvl>
    <w:lvl w:ilvl="3" w:tplc="0419000F" w:tentative="1">
      <w:start w:val="1"/>
      <w:numFmt w:val="decimal"/>
      <w:lvlText w:val="%4."/>
      <w:lvlJc w:val="left"/>
      <w:pPr>
        <w:ind w:left="3113" w:hanging="360"/>
      </w:pPr>
    </w:lvl>
    <w:lvl w:ilvl="4" w:tplc="04190019" w:tentative="1">
      <w:start w:val="1"/>
      <w:numFmt w:val="lowerLetter"/>
      <w:lvlText w:val="%5."/>
      <w:lvlJc w:val="left"/>
      <w:pPr>
        <w:ind w:left="3833" w:hanging="360"/>
      </w:pPr>
    </w:lvl>
    <w:lvl w:ilvl="5" w:tplc="0419001B" w:tentative="1">
      <w:start w:val="1"/>
      <w:numFmt w:val="lowerRoman"/>
      <w:lvlText w:val="%6."/>
      <w:lvlJc w:val="right"/>
      <w:pPr>
        <w:ind w:left="4553" w:hanging="180"/>
      </w:pPr>
    </w:lvl>
    <w:lvl w:ilvl="6" w:tplc="0419000F" w:tentative="1">
      <w:start w:val="1"/>
      <w:numFmt w:val="decimal"/>
      <w:lvlText w:val="%7."/>
      <w:lvlJc w:val="left"/>
      <w:pPr>
        <w:ind w:left="5273" w:hanging="360"/>
      </w:pPr>
    </w:lvl>
    <w:lvl w:ilvl="7" w:tplc="04190019" w:tentative="1">
      <w:start w:val="1"/>
      <w:numFmt w:val="lowerLetter"/>
      <w:lvlText w:val="%8."/>
      <w:lvlJc w:val="left"/>
      <w:pPr>
        <w:ind w:left="5993" w:hanging="360"/>
      </w:pPr>
    </w:lvl>
    <w:lvl w:ilvl="8" w:tplc="0419001B" w:tentative="1">
      <w:start w:val="1"/>
      <w:numFmt w:val="lowerRoman"/>
      <w:lvlText w:val="%9."/>
      <w:lvlJc w:val="right"/>
      <w:pPr>
        <w:ind w:left="6713" w:hanging="180"/>
      </w:pPr>
    </w:lvl>
  </w:abstractNum>
  <w:num w:numId="1" w16cid:durableId="26492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6A"/>
    <w:rsid w:val="00034A36"/>
    <w:rsid w:val="00036E10"/>
    <w:rsid w:val="00056C38"/>
    <w:rsid w:val="00066CCD"/>
    <w:rsid w:val="000C2137"/>
    <w:rsid w:val="00190B92"/>
    <w:rsid w:val="001F2101"/>
    <w:rsid w:val="00205EFF"/>
    <w:rsid w:val="00256A77"/>
    <w:rsid w:val="002E3AC7"/>
    <w:rsid w:val="002F7E4D"/>
    <w:rsid w:val="00361B79"/>
    <w:rsid w:val="00364A18"/>
    <w:rsid w:val="00390081"/>
    <w:rsid w:val="003E7AA1"/>
    <w:rsid w:val="005B4A43"/>
    <w:rsid w:val="005D198A"/>
    <w:rsid w:val="005E5D40"/>
    <w:rsid w:val="00600413"/>
    <w:rsid w:val="00610D8D"/>
    <w:rsid w:val="006347E1"/>
    <w:rsid w:val="006457CF"/>
    <w:rsid w:val="00647963"/>
    <w:rsid w:val="006518B2"/>
    <w:rsid w:val="006C3EE2"/>
    <w:rsid w:val="006F50D8"/>
    <w:rsid w:val="007253FA"/>
    <w:rsid w:val="008D7550"/>
    <w:rsid w:val="0094475F"/>
    <w:rsid w:val="00982A40"/>
    <w:rsid w:val="00992D2A"/>
    <w:rsid w:val="009D529A"/>
    <w:rsid w:val="00A03D6A"/>
    <w:rsid w:val="00A650DA"/>
    <w:rsid w:val="00A907A4"/>
    <w:rsid w:val="00A91E6D"/>
    <w:rsid w:val="00AC7D30"/>
    <w:rsid w:val="00AE24D5"/>
    <w:rsid w:val="00B24F92"/>
    <w:rsid w:val="00B435EB"/>
    <w:rsid w:val="00B77C33"/>
    <w:rsid w:val="00B86896"/>
    <w:rsid w:val="00BA49F0"/>
    <w:rsid w:val="00C32F1C"/>
    <w:rsid w:val="00CC0ACD"/>
    <w:rsid w:val="00D63F8D"/>
    <w:rsid w:val="00D77510"/>
    <w:rsid w:val="00DA5057"/>
    <w:rsid w:val="00DC0648"/>
    <w:rsid w:val="00DE375B"/>
    <w:rsid w:val="00E21E71"/>
    <w:rsid w:val="00E43E82"/>
    <w:rsid w:val="00E5235B"/>
    <w:rsid w:val="00E55AE7"/>
    <w:rsid w:val="00EC69B8"/>
    <w:rsid w:val="00F702A5"/>
    <w:rsid w:val="00FA139F"/>
    <w:rsid w:val="00FE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9372"/>
  <w15:chartTrackingRefBased/>
  <w15:docId w15:val="{6C4DD610-BD92-49B3-B6CB-DD084CDC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64A1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64A18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64A18"/>
    <w:rPr>
      <w:kern w:val="2"/>
      <w:sz w:val="20"/>
      <w:szCs w:val="20"/>
      <w14:ligatures w14:val="standardContextual"/>
    </w:rPr>
  </w:style>
  <w:style w:type="paragraph" w:styleId="a6">
    <w:name w:val="List Paragraph"/>
    <w:basedOn w:val="a"/>
    <w:uiPriority w:val="34"/>
    <w:qFormat/>
    <w:rsid w:val="00E21E7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21E7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21E71"/>
    <w:rPr>
      <w:color w:val="605E5C"/>
      <w:shd w:val="clear" w:color="auto" w:fill="E1DFDD"/>
    </w:rPr>
  </w:style>
  <w:style w:type="paragraph" w:styleId="a9">
    <w:name w:val="footnote text"/>
    <w:basedOn w:val="a"/>
    <w:link w:val="aa"/>
    <w:uiPriority w:val="99"/>
    <w:unhideWhenUsed/>
    <w:rsid w:val="000C2137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aa">
    <w:name w:val="Текст сноски Знак"/>
    <w:basedOn w:val="a0"/>
    <w:link w:val="a9"/>
    <w:uiPriority w:val="99"/>
    <w:rsid w:val="000C2137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mf.org/en/Publications/WP/Issues/2016/12/30/The-Japanese-Yen-as-an-International-Currency-878" TargetMode="External"/><Relationship Id="rId5" Type="http://schemas.openxmlformats.org/officeDocument/2006/relationships/hyperlink" Target="https://www.imf.org/en/Publications/Publications-By-Author?author=Yusuru++Ozeki&amp;name=Yusuru%20%20Oze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George</cp:lastModifiedBy>
  <cp:revision>10</cp:revision>
  <dcterms:created xsi:type="dcterms:W3CDTF">2025-03-04T19:29:00Z</dcterms:created>
  <dcterms:modified xsi:type="dcterms:W3CDTF">2025-03-08T14:42:00Z</dcterms:modified>
</cp:coreProperties>
</file>