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6CBF" w:rsidRPr="00254246" w:rsidRDefault="008E6CBF" w:rsidP="008E6CBF">
      <w:pPr>
        <w:rPr>
          <w:rFonts w:ascii="Times New Roman" w:hAnsi="Times New Roman" w:cs="Times New Roman"/>
        </w:rPr>
      </w:pPr>
    </w:p>
    <w:p w:rsidR="00AF4D87" w:rsidRDefault="008E6CBF" w:rsidP="00AF4D87">
      <w:pPr>
        <w:jc w:val="center"/>
        <w:rPr>
          <w:rFonts w:ascii="Times New Roman" w:hAnsi="Times New Roman" w:cs="Times New Roman"/>
          <w:b/>
          <w:bCs/>
        </w:rPr>
      </w:pPr>
      <w:r w:rsidRPr="00AF4D87">
        <w:rPr>
          <w:rFonts w:ascii="Times New Roman" w:hAnsi="Times New Roman" w:cs="Times New Roman"/>
          <w:b/>
          <w:bCs/>
        </w:rPr>
        <w:t xml:space="preserve">Сингапур как модель для развивающихся стран: </w:t>
      </w:r>
    </w:p>
    <w:p w:rsidR="008E6CBF" w:rsidRPr="00AF4D87" w:rsidRDefault="008E6CBF" w:rsidP="00AF4D87">
      <w:pPr>
        <w:jc w:val="center"/>
        <w:rPr>
          <w:rFonts w:ascii="Times New Roman" w:hAnsi="Times New Roman" w:cs="Times New Roman"/>
          <w:b/>
          <w:bCs/>
        </w:rPr>
      </w:pPr>
      <w:r w:rsidRPr="00AF4D87">
        <w:rPr>
          <w:rFonts w:ascii="Times New Roman" w:hAnsi="Times New Roman" w:cs="Times New Roman"/>
          <w:b/>
          <w:bCs/>
        </w:rPr>
        <w:t>успешные практики и их переносимость</w:t>
      </w:r>
    </w:p>
    <w:p w:rsidR="000711C1" w:rsidRPr="000711C1" w:rsidRDefault="000711C1" w:rsidP="000711C1">
      <w:pPr>
        <w:rPr>
          <w:rFonts w:ascii="Times New Roman" w:hAnsi="Times New Roman" w:cs="Times New Roman"/>
        </w:rPr>
      </w:pPr>
    </w:p>
    <w:p w:rsidR="000711C1" w:rsidRPr="000711C1" w:rsidRDefault="000711C1" w:rsidP="000711C1">
      <w:pPr>
        <w:ind w:firstLine="708"/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>Экономическая трансформация Сингапура во второй половине XX – начале XXI века представляет собой уникальный кейс модернизации, обусловленный сочетанием институциональной эффективности, проактивного государственного интервенционизма и стратегической интеграции в глобальные рынки. В рамках экономической историографии данная модель рассматривается в контексте нескольких концептуальных подходов: институционального (</w:t>
      </w:r>
      <w:proofErr w:type="spellStart"/>
      <w:r w:rsidRPr="000711C1">
        <w:rPr>
          <w:rFonts w:ascii="Times New Roman" w:hAnsi="Times New Roman" w:cs="Times New Roman"/>
        </w:rPr>
        <w:t>Rodrik</w:t>
      </w:r>
      <w:proofErr w:type="spellEnd"/>
      <w:r w:rsidRPr="000711C1">
        <w:rPr>
          <w:rFonts w:ascii="Times New Roman" w:hAnsi="Times New Roman" w:cs="Times New Roman"/>
        </w:rPr>
        <w:t xml:space="preserve">, 2007; </w:t>
      </w:r>
      <w:proofErr w:type="spellStart"/>
      <w:r w:rsidRPr="000711C1">
        <w:rPr>
          <w:rFonts w:ascii="Times New Roman" w:hAnsi="Times New Roman" w:cs="Times New Roman"/>
        </w:rPr>
        <w:t>Evans</w:t>
      </w:r>
      <w:proofErr w:type="spellEnd"/>
      <w:r w:rsidRPr="000711C1">
        <w:rPr>
          <w:rFonts w:ascii="Times New Roman" w:hAnsi="Times New Roman" w:cs="Times New Roman"/>
        </w:rPr>
        <w:t>, 1995), структурного (World Bank, 2017) и неоклассического (</w:t>
      </w:r>
      <w:proofErr w:type="spellStart"/>
      <w:r w:rsidRPr="000711C1">
        <w:rPr>
          <w:rFonts w:ascii="Times New Roman" w:hAnsi="Times New Roman" w:cs="Times New Roman"/>
        </w:rPr>
        <w:t>Krugman</w:t>
      </w:r>
      <w:proofErr w:type="spellEnd"/>
      <w:r w:rsidRPr="000711C1">
        <w:rPr>
          <w:rFonts w:ascii="Times New Roman" w:hAnsi="Times New Roman" w:cs="Times New Roman"/>
        </w:rPr>
        <w:t>, 1994), каждый из которых предлагает различные интерпретации факторов роста и устойчивости сингапурской экономики.</w:t>
      </w:r>
    </w:p>
    <w:p w:rsidR="000711C1" w:rsidRPr="000711C1" w:rsidRDefault="000711C1" w:rsidP="000711C1">
      <w:pPr>
        <w:ind w:firstLine="708"/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 xml:space="preserve">Один из ключевых теоретических контекстов для анализа сингапурского экономического феномена – модель "летящих гусей", разработанная Кандзи </w:t>
      </w:r>
      <w:proofErr w:type="spellStart"/>
      <w:r w:rsidRPr="000711C1">
        <w:rPr>
          <w:rFonts w:ascii="Times New Roman" w:hAnsi="Times New Roman" w:cs="Times New Roman"/>
        </w:rPr>
        <w:t>Акаматсу</w:t>
      </w:r>
      <w:proofErr w:type="spellEnd"/>
      <w:r w:rsidRPr="000711C1">
        <w:rPr>
          <w:rFonts w:ascii="Times New Roman" w:hAnsi="Times New Roman" w:cs="Times New Roman"/>
        </w:rPr>
        <w:t xml:space="preserve"> (</w:t>
      </w:r>
      <w:proofErr w:type="spellStart"/>
      <w:r w:rsidRPr="000711C1">
        <w:rPr>
          <w:rFonts w:ascii="Times New Roman" w:hAnsi="Times New Roman" w:cs="Times New Roman"/>
        </w:rPr>
        <w:t>Akamatsu</w:t>
      </w:r>
      <w:proofErr w:type="spellEnd"/>
      <w:r w:rsidRPr="000711C1">
        <w:rPr>
          <w:rFonts w:ascii="Times New Roman" w:hAnsi="Times New Roman" w:cs="Times New Roman"/>
        </w:rPr>
        <w:t xml:space="preserve">, 1962). В соответствии с данной концепцией, Сингапур, наряду с другими "азиатскими тиграми", прошел эволюционный путь от трудоемких отраслей к высокотехнологичному производству, следуя за Японией и Южной Кореей. Однако адаптация данной модели к реалиям Сингапура носила дискретный характер: в отличие от многих соседних экономик, правительство реализовывало </w:t>
      </w:r>
      <w:proofErr w:type="spellStart"/>
      <w:r w:rsidRPr="000711C1">
        <w:rPr>
          <w:rFonts w:ascii="Times New Roman" w:hAnsi="Times New Roman" w:cs="Times New Roman"/>
        </w:rPr>
        <w:t>дирижистскую</w:t>
      </w:r>
      <w:proofErr w:type="spellEnd"/>
      <w:r w:rsidRPr="000711C1">
        <w:rPr>
          <w:rFonts w:ascii="Times New Roman" w:hAnsi="Times New Roman" w:cs="Times New Roman"/>
        </w:rPr>
        <w:t xml:space="preserve"> стратегию, ориентированную не на импортозамещение, а на привлечение иностранных инвестиций и развитие экспортного потенциала.</w:t>
      </w:r>
    </w:p>
    <w:p w:rsidR="000711C1" w:rsidRPr="000711C1" w:rsidRDefault="000711C1" w:rsidP="000711C1">
      <w:pPr>
        <w:ind w:firstLine="708"/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>Несмотря на признание эффективности сингапурской модели, академическое сообщество остается разделенным в оценках факторов ее долгосрочной устойчивости. Пол Кругман (</w:t>
      </w:r>
      <w:proofErr w:type="spellStart"/>
      <w:r w:rsidRPr="000711C1">
        <w:rPr>
          <w:rFonts w:ascii="Times New Roman" w:hAnsi="Times New Roman" w:cs="Times New Roman"/>
        </w:rPr>
        <w:t>Krugman</w:t>
      </w:r>
      <w:proofErr w:type="spellEnd"/>
      <w:r w:rsidRPr="000711C1">
        <w:rPr>
          <w:rFonts w:ascii="Times New Roman" w:hAnsi="Times New Roman" w:cs="Times New Roman"/>
        </w:rPr>
        <w:t>, 1994) утверждал, что экономическое чудо Сингапура базировалось преимущественно на экстенсивных факторах роста – экспансии капитала и рабочей силы – а не на повышении производительности или технологическом прогрессе. В противоположность этой точке зрения, сторонники институционального подхода (</w:t>
      </w:r>
      <w:proofErr w:type="spellStart"/>
      <w:r w:rsidRPr="000711C1">
        <w:rPr>
          <w:rFonts w:ascii="Times New Roman" w:hAnsi="Times New Roman" w:cs="Times New Roman"/>
        </w:rPr>
        <w:t>Evans</w:t>
      </w:r>
      <w:proofErr w:type="spellEnd"/>
      <w:r w:rsidRPr="000711C1">
        <w:rPr>
          <w:rFonts w:ascii="Times New Roman" w:hAnsi="Times New Roman" w:cs="Times New Roman"/>
        </w:rPr>
        <w:t xml:space="preserve">, 1995; </w:t>
      </w:r>
      <w:proofErr w:type="spellStart"/>
      <w:r w:rsidRPr="000711C1">
        <w:rPr>
          <w:rFonts w:ascii="Times New Roman" w:hAnsi="Times New Roman" w:cs="Times New Roman"/>
        </w:rPr>
        <w:t>Rodrik</w:t>
      </w:r>
      <w:proofErr w:type="spellEnd"/>
      <w:r w:rsidRPr="000711C1">
        <w:rPr>
          <w:rFonts w:ascii="Times New Roman" w:hAnsi="Times New Roman" w:cs="Times New Roman"/>
        </w:rPr>
        <w:t xml:space="preserve">, 2007) подчеркивают, что успех Сингапура стал возможен благодаря эффективной бюрократической архитектуре, государственной поддержке R&amp;D (Research </w:t>
      </w:r>
      <w:proofErr w:type="spellStart"/>
      <w:r w:rsidRPr="000711C1">
        <w:rPr>
          <w:rFonts w:ascii="Times New Roman" w:hAnsi="Times New Roman" w:cs="Times New Roman"/>
        </w:rPr>
        <w:t>and</w:t>
      </w:r>
      <w:proofErr w:type="spellEnd"/>
      <w:r w:rsidRPr="000711C1">
        <w:rPr>
          <w:rFonts w:ascii="Times New Roman" w:hAnsi="Times New Roman" w:cs="Times New Roman"/>
        </w:rPr>
        <w:t xml:space="preserve"> Development) и созданию благоприятного бизнес-климата.</w:t>
      </w:r>
    </w:p>
    <w:p w:rsidR="000711C1" w:rsidRPr="000711C1" w:rsidRDefault="000711C1" w:rsidP="000711C1">
      <w:pPr>
        <w:ind w:firstLine="708"/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 xml:space="preserve">Методологически данное исследование основано на компаративистском анализе экономических стратегий Сингапура и развивающихся государств, включая Малайзию, Индонезию, Вьетнам и Нигерию. Выбор Малайзии в качестве референтной экономики обусловлен рядом факторов: схожими историческими предпосылками (оба государства входили в состав Британской империи и испытывали сходные вызовы постколониального развития), близостью экономической структуры на начальных этапах модернизации, а также высокой степенью интеграции в региональные производственные цепочки. Однако траектория развития этих двух стран существенно различается: в то время как Сингапур сделал ставку на высокую степень государственно-частного взаимодействия и строгий институциональный контроль, Малайзия реализовывала более гибридную модель, основанную на политике протекционизма и программе </w:t>
      </w:r>
      <w:proofErr w:type="spellStart"/>
      <w:r w:rsidRPr="000711C1">
        <w:rPr>
          <w:rFonts w:ascii="Times New Roman" w:hAnsi="Times New Roman" w:cs="Times New Roman"/>
        </w:rPr>
        <w:t>Bumiputera</w:t>
      </w:r>
      <w:proofErr w:type="spellEnd"/>
      <w:r w:rsidRPr="000711C1">
        <w:rPr>
          <w:rFonts w:ascii="Times New Roman" w:hAnsi="Times New Roman" w:cs="Times New Roman"/>
        </w:rPr>
        <w:t>, ориентированной на поддержку титульного этноса в сфере предпринимательства.</w:t>
      </w:r>
    </w:p>
    <w:p w:rsidR="000711C1" w:rsidRPr="000711C1" w:rsidRDefault="000711C1" w:rsidP="000711C1">
      <w:pPr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 xml:space="preserve">Новизна авторского подхода заключается в междисциплинарном анализе факторов </w:t>
      </w:r>
      <w:proofErr w:type="spellStart"/>
      <w:r w:rsidRPr="000711C1">
        <w:rPr>
          <w:rFonts w:ascii="Times New Roman" w:hAnsi="Times New Roman" w:cs="Times New Roman"/>
        </w:rPr>
        <w:t>трансферируемости</w:t>
      </w:r>
      <w:proofErr w:type="spellEnd"/>
      <w:r w:rsidRPr="000711C1">
        <w:rPr>
          <w:rFonts w:ascii="Times New Roman" w:hAnsi="Times New Roman" w:cs="Times New Roman"/>
        </w:rPr>
        <w:t xml:space="preserve"> сингапурской модели с учетом институциональной зрелости, уровня инклюзивности экономических институтов и политической стабильности стран-реципиентов. В отличие от традиционных исследований, фокусирующихся исключительно на репликации успешных практик, данное исследование выявляет потенциальные ограничения и адаптационные барьеры, обусловленные культурными и структурными особенностями отдельных государств.</w:t>
      </w:r>
    </w:p>
    <w:p w:rsidR="000711C1" w:rsidRPr="000711C1" w:rsidRDefault="000711C1" w:rsidP="000711C1">
      <w:pPr>
        <w:ind w:firstLine="360"/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>Результаты анализа свидетельствуют о том, что сингапурская модель базируется на нескольких ключевых элементах:</w:t>
      </w:r>
    </w:p>
    <w:p w:rsidR="000711C1" w:rsidRPr="000711C1" w:rsidRDefault="000711C1" w:rsidP="000711C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  <w:b/>
          <w:bCs/>
        </w:rPr>
        <w:lastRenderedPageBreak/>
        <w:t>Строгая институциональная регламентация</w:t>
      </w:r>
      <w:r w:rsidRPr="000711C1">
        <w:rPr>
          <w:rFonts w:ascii="Times New Roman" w:hAnsi="Times New Roman" w:cs="Times New Roman"/>
        </w:rPr>
        <w:t xml:space="preserve"> – сочетание жесткого государственного контроля и благоприятного инвестиционного климата.</w:t>
      </w:r>
    </w:p>
    <w:p w:rsidR="000711C1" w:rsidRPr="000711C1" w:rsidRDefault="000711C1" w:rsidP="000711C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  <w:b/>
          <w:bCs/>
        </w:rPr>
        <w:t>Приоритетное развитие человеческого капитала</w:t>
      </w:r>
      <w:r w:rsidRPr="000711C1">
        <w:rPr>
          <w:rFonts w:ascii="Times New Roman" w:hAnsi="Times New Roman" w:cs="Times New Roman"/>
        </w:rPr>
        <w:t xml:space="preserve"> – инвестиции в образование, стратегические программы подготовки кадров и стимулирование академического предпринимательства.</w:t>
      </w:r>
    </w:p>
    <w:p w:rsidR="000711C1" w:rsidRPr="000711C1" w:rsidRDefault="000711C1" w:rsidP="000711C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  <w:b/>
          <w:bCs/>
        </w:rPr>
        <w:t>Гибридная экономическая политика</w:t>
      </w:r>
      <w:r w:rsidRPr="000711C1">
        <w:rPr>
          <w:rFonts w:ascii="Times New Roman" w:hAnsi="Times New Roman" w:cs="Times New Roman"/>
        </w:rPr>
        <w:t xml:space="preserve"> – сочетание фискальной консервативности с активной индустриальной политикой.</w:t>
      </w:r>
    </w:p>
    <w:p w:rsidR="000711C1" w:rsidRPr="000711C1" w:rsidRDefault="000711C1" w:rsidP="000711C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  <w:b/>
          <w:bCs/>
        </w:rPr>
        <w:t>Акцент на FDI (Foreign Direct Investment)</w:t>
      </w:r>
      <w:r w:rsidRPr="000711C1">
        <w:rPr>
          <w:rFonts w:ascii="Times New Roman" w:hAnsi="Times New Roman" w:cs="Times New Roman"/>
        </w:rPr>
        <w:t xml:space="preserve"> – привлечение транснационального капитала при параллельном развитии национальных высокотехнологичных кластеров.</w:t>
      </w:r>
    </w:p>
    <w:p w:rsidR="000711C1" w:rsidRPr="000711C1" w:rsidRDefault="000711C1" w:rsidP="000711C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  <w:b/>
          <w:bCs/>
        </w:rPr>
        <w:t>Гибкость макроэкономического управления</w:t>
      </w:r>
      <w:r w:rsidRPr="000711C1">
        <w:rPr>
          <w:rFonts w:ascii="Times New Roman" w:hAnsi="Times New Roman" w:cs="Times New Roman"/>
        </w:rPr>
        <w:t xml:space="preserve"> – способность государства адаптироваться к экзогенным вызовам и трансформировать институциональные механизмы в ответ на изменения глобальной конъюнктуры.</w:t>
      </w:r>
    </w:p>
    <w:p w:rsidR="000711C1" w:rsidRPr="000711C1" w:rsidRDefault="000711C1" w:rsidP="000711C1">
      <w:pPr>
        <w:ind w:firstLine="360"/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>Сравнение с кейсом Малайзии демонстрирует, что универсализация сингапурской модели наталкивается на серьезные ограничения. В условиях политической нестабильности, высокого уровня коррупции и отсутствия институциональной преемственности успешная адаптация элементов данной модели становится проблематичной. Однако отдельные компоненты – в частности, стратегическое планирование, развитие человеческого капитала и стимулирование инновационной экономики – могут быть интегрированы в национальные экономические стратегии для достижения устойчивого роста.</w:t>
      </w:r>
    </w:p>
    <w:p w:rsidR="000711C1" w:rsidRPr="000711C1" w:rsidRDefault="000711C1" w:rsidP="000711C1">
      <w:pPr>
        <w:ind w:firstLine="360"/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>Таким образом, проведенное исследование подтверждает гипотезу о том, что сингапурская модель не является универсальным рецептом модернизации, а представляет собой адаптивную стратегию, эффективность которой зависит от институционального контекста и макроэкономических параметров страны-реципиента. Основной вывод заключается в том, что успешный трансфер экономических стратегий Сингапура возможен лишь при наличии стабильных институтов, политической воли к реформам и высокого уровня человеческого капитала. Более того, критический анализ показывает, что экономический рост, основанный исключительно на привлечении иностранных инвестиций и государственной регуляции, может столкнуться с долгосрочными ограничениями, связанными с исчерпанием экстенсивных факторов роста.</w:t>
      </w:r>
    </w:p>
    <w:p w:rsidR="000711C1" w:rsidRPr="000711C1" w:rsidRDefault="000711C1" w:rsidP="000711C1">
      <w:pPr>
        <w:jc w:val="both"/>
        <w:rPr>
          <w:rFonts w:ascii="Times New Roman" w:hAnsi="Times New Roman" w:cs="Times New Roman"/>
        </w:rPr>
      </w:pPr>
      <w:r w:rsidRPr="000711C1">
        <w:rPr>
          <w:rFonts w:ascii="Times New Roman" w:hAnsi="Times New Roman" w:cs="Times New Roman"/>
        </w:rPr>
        <w:t>В перспективе дальнейшие исследования могут быть сосредоточены на углубленном анализе условий, необходимых для адаптации сингапурской модели в различных регионах, а также на изучении ее потенциальных рисков в условиях глобальной экономической нестабильности.</w:t>
      </w:r>
    </w:p>
    <w:p w:rsidR="008E6CBF" w:rsidRPr="00254246" w:rsidRDefault="008E6CBF" w:rsidP="008E6CBF">
      <w:pPr>
        <w:rPr>
          <w:rFonts w:ascii="Times New Roman" w:hAnsi="Times New Roman" w:cs="Times New Roman"/>
        </w:rPr>
      </w:pPr>
    </w:p>
    <w:p w:rsidR="008E6CBF" w:rsidRPr="00254246" w:rsidRDefault="008E6CBF" w:rsidP="00AF6C68">
      <w:pPr>
        <w:jc w:val="both"/>
        <w:rPr>
          <w:rFonts w:ascii="Times New Roman" w:hAnsi="Times New Roman" w:cs="Times New Roman"/>
        </w:rPr>
      </w:pPr>
      <w:r w:rsidRPr="00254246">
        <w:rPr>
          <w:rFonts w:ascii="Times New Roman" w:hAnsi="Times New Roman" w:cs="Times New Roman"/>
        </w:rPr>
        <w:t xml:space="preserve">Список использованных источников: </w:t>
      </w:r>
    </w:p>
    <w:p w:rsidR="00AF6C68" w:rsidRPr="00AF6C68" w:rsidRDefault="008E6CBF" w:rsidP="00AF6C68">
      <w:pPr>
        <w:jc w:val="both"/>
        <w:rPr>
          <w:rFonts w:ascii="Times New Roman" w:hAnsi="Times New Roman" w:cs="Times New Roman"/>
        </w:rPr>
      </w:pPr>
      <w:r w:rsidRPr="00254246">
        <w:rPr>
          <w:rFonts w:ascii="Times New Roman" w:hAnsi="Times New Roman" w:cs="Times New Roman"/>
        </w:rPr>
        <w:t xml:space="preserve">1. </w:t>
      </w:r>
      <w:proofErr w:type="spellStart"/>
      <w:r w:rsidR="00AF6C68" w:rsidRPr="00AF6C68">
        <w:rPr>
          <w:rFonts w:ascii="Times New Roman" w:hAnsi="Times New Roman" w:cs="Times New Roman"/>
        </w:rPr>
        <w:t>Акаматсу</w:t>
      </w:r>
      <w:proofErr w:type="spellEnd"/>
      <w:r w:rsidR="00AF6C68" w:rsidRPr="00AF6C68">
        <w:rPr>
          <w:rFonts w:ascii="Times New Roman" w:hAnsi="Times New Roman" w:cs="Times New Roman"/>
        </w:rPr>
        <w:t xml:space="preserve"> К. Историческое развитие международного разделения труда: цикл "летящих гусей" // Проблемы Дальнего Востока. – 1962. – № 3. – С. 34-52.</w:t>
      </w:r>
    </w:p>
    <w:p w:rsidR="00AF6C68" w:rsidRPr="00AF6C68" w:rsidRDefault="00AF6C68" w:rsidP="00AF6C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F6C68">
        <w:rPr>
          <w:rFonts w:ascii="Times New Roman" w:hAnsi="Times New Roman" w:cs="Times New Roman"/>
        </w:rPr>
        <w:t>Всемирный банк. Экономическое развитие Восточной Азии: экономические чудеса и государственная политика. – Вашингтон: World Bank, 2017. – 428 с.</w:t>
      </w:r>
    </w:p>
    <w:p w:rsidR="00AF6C68" w:rsidRPr="00AF6C68" w:rsidRDefault="00AF6C68" w:rsidP="00AF6C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F6C68">
        <w:rPr>
          <w:rFonts w:ascii="Times New Roman" w:hAnsi="Times New Roman" w:cs="Times New Roman"/>
        </w:rPr>
        <w:t>Кругман П. Миф азиатского чуда // Вопросы экономики. – 1994. – № 3. – С. 14-30.</w:t>
      </w:r>
    </w:p>
    <w:p w:rsidR="00AF6C68" w:rsidRPr="00AF6C68" w:rsidRDefault="00AF6C68" w:rsidP="00AF6C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Pr="00AF6C68">
        <w:rPr>
          <w:rFonts w:ascii="Times New Roman" w:hAnsi="Times New Roman" w:cs="Times New Roman"/>
        </w:rPr>
        <w:t>Родрик</w:t>
      </w:r>
      <w:proofErr w:type="spellEnd"/>
      <w:r w:rsidRPr="00AF6C68">
        <w:rPr>
          <w:rFonts w:ascii="Times New Roman" w:hAnsi="Times New Roman" w:cs="Times New Roman"/>
        </w:rPr>
        <w:t xml:space="preserve"> Д. Институты и экономическое развитие: анализ влияния институционального устройства на рост экономики. – Принстон: Princeton University Press, 2007. – 312 с.</w:t>
      </w:r>
    </w:p>
    <w:p w:rsidR="00AF6C68" w:rsidRPr="00AF6C68" w:rsidRDefault="00AF6C68" w:rsidP="00AF6C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F6C68">
        <w:rPr>
          <w:rFonts w:ascii="Times New Roman" w:hAnsi="Times New Roman" w:cs="Times New Roman"/>
        </w:rPr>
        <w:t>Эванс П. Встроенная автономия: государства и промышленное развитие. – Принстон: Princeton University Press, 1995. – 340 с.</w:t>
      </w:r>
    </w:p>
    <w:p w:rsidR="008E6CBF" w:rsidRPr="00AF6C68" w:rsidRDefault="00AF6C68" w:rsidP="00AF6C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AF6C68">
        <w:rPr>
          <w:rFonts w:ascii="Times New Roman" w:hAnsi="Times New Roman" w:cs="Times New Roman"/>
        </w:rPr>
        <w:t xml:space="preserve">Юсуф Ш. Сингапурская стратегия: анализ факторов экономического успеха. – Оксфорд: </w:t>
      </w:r>
      <w:proofErr w:type="spellStart"/>
      <w:r w:rsidRPr="00AF6C68">
        <w:rPr>
          <w:rFonts w:ascii="Times New Roman" w:hAnsi="Times New Roman" w:cs="Times New Roman"/>
        </w:rPr>
        <w:t>Oxford</w:t>
      </w:r>
      <w:proofErr w:type="spellEnd"/>
      <w:r w:rsidRPr="00AF6C68">
        <w:rPr>
          <w:rFonts w:ascii="Times New Roman" w:hAnsi="Times New Roman" w:cs="Times New Roman"/>
        </w:rPr>
        <w:t xml:space="preserve"> University Press, 2008. – 290 с.</w:t>
      </w:r>
    </w:p>
    <w:p w:rsidR="00FB3035" w:rsidRPr="00254246" w:rsidRDefault="00FB3035" w:rsidP="008E6CBF">
      <w:pPr>
        <w:rPr>
          <w:rFonts w:ascii="Times New Roman" w:hAnsi="Times New Roman" w:cs="Times New Roman"/>
        </w:rPr>
      </w:pPr>
    </w:p>
    <w:sectPr w:rsidR="00FB3035" w:rsidRPr="00254246" w:rsidSect="002542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23A85"/>
    <w:multiLevelType w:val="multilevel"/>
    <w:tmpl w:val="5BF4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47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BF"/>
    <w:rsid w:val="000711C1"/>
    <w:rsid w:val="00254246"/>
    <w:rsid w:val="00854721"/>
    <w:rsid w:val="008E6CBF"/>
    <w:rsid w:val="00A04CAC"/>
    <w:rsid w:val="00AF4D87"/>
    <w:rsid w:val="00AF6C68"/>
    <w:rsid w:val="00D90445"/>
    <w:rsid w:val="00F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63A46"/>
  <w15:chartTrackingRefBased/>
  <w15:docId w15:val="{A9AB1D7F-53EA-5E46-BF0B-207233A5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D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4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Уткина</dc:creator>
  <cp:keywords/>
  <dc:description/>
  <cp:lastModifiedBy>Екатерина Уткина</cp:lastModifiedBy>
  <cp:revision>1</cp:revision>
  <dcterms:created xsi:type="dcterms:W3CDTF">2025-02-28T17:42:00Z</dcterms:created>
  <dcterms:modified xsi:type="dcterms:W3CDTF">2025-03-01T09:52:00Z</dcterms:modified>
</cp:coreProperties>
</file>