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7836" w14:textId="1FCEF10C" w:rsidR="00B85643" w:rsidRPr="00B85643" w:rsidRDefault="00B85643" w:rsidP="0008461C">
      <w:pPr>
        <w:spacing w:before="20"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139978"/>
      <w:r w:rsidRPr="00B85643">
        <w:rPr>
          <w:rFonts w:ascii="Times New Roman" w:hAnsi="Times New Roman" w:cs="Times New Roman"/>
          <w:b/>
          <w:bCs/>
          <w:sz w:val="24"/>
          <w:szCs w:val="24"/>
        </w:rPr>
        <w:t>Цифровые валюты Центральных банков: опыт Японии в контексте глобальных тенденций</w:t>
      </w:r>
    </w:p>
    <w:p w14:paraId="7EFE4BB3" w14:textId="1AE45592" w:rsidR="00142AE3" w:rsidRPr="0008461C" w:rsidRDefault="00142AE3" w:rsidP="0008461C">
      <w:pPr>
        <w:spacing w:before="20" w:after="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6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Кисляк Анастасия Андреевна</w:t>
      </w:r>
      <w:r w:rsidR="007D6483" w:rsidRPr="0008461C">
        <w:rPr>
          <w:rStyle w:val="a8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1"/>
      </w:r>
    </w:p>
    <w:p w14:paraId="7CAB0E8E" w14:textId="773D3A07" w:rsidR="00142AE3" w:rsidRPr="0008461C" w:rsidRDefault="00142AE3" w:rsidP="0008461C">
      <w:pPr>
        <w:spacing w:before="20" w:after="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461C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="00F2050A" w:rsidRPr="0008461C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8461C">
        <w:rPr>
          <w:rFonts w:ascii="Times New Roman" w:hAnsi="Times New Roman" w:cs="Times New Roman"/>
          <w:i/>
          <w:iCs/>
          <w:sz w:val="24"/>
          <w:szCs w:val="24"/>
        </w:rPr>
        <w:t xml:space="preserve"> курс бакалавриата</w:t>
      </w:r>
    </w:p>
    <w:p w14:paraId="2A2BE760" w14:textId="6964F9E2" w:rsidR="00142AE3" w:rsidRPr="0008461C" w:rsidRDefault="00142AE3" w:rsidP="0008461C">
      <w:pPr>
        <w:spacing w:before="20" w:after="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461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 Москва, Россия</w:t>
      </w:r>
    </w:p>
    <w:p w14:paraId="7212E58D" w14:textId="71580877" w:rsidR="00142AE3" w:rsidRPr="0008461C" w:rsidRDefault="00142AE3" w:rsidP="0008461C">
      <w:pPr>
        <w:spacing w:before="20" w:after="20"/>
        <w:jc w:val="center"/>
        <w:rPr>
          <w:rFonts w:ascii="Times New Roman" w:hAnsi="Times New Roman" w:cs="Times New Roman"/>
          <w:sz w:val="24"/>
          <w:szCs w:val="24"/>
        </w:rPr>
      </w:pPr>
      <w:r w:rsidRPr="0008461C">
        <w:rPr>
          <w:rFonts w:ascii="Times New Roman" w:hAnsi="Times New Roman" w:cs="Times New Roman"/>
          <w:sz w:val="24"/>
          <w:szCs w:val="24"/>
        </w:rPr>
        <w:t xml:space="preserve">E-mail: </w:t>
      </w:r>
      <w:r w:rsidRPr="0008461C">
        <w:rPr>
          <w:rFonts w:ascii="Times New Roman" w:hAnsi="Times New Roman" w:cs="Times New Roman"/>
          <w:i/>
          <w:iCs/>
          <w:sz w:val="24"/>
          <w:szCs w:val="24"/>
        </w:rPr>
        <w:t>anastasiyakislyak18@gmail.com</w:t>
      </w:r>
    </w:p>
    <w:p w14:paraId="6CC9DAEE" w14:textId="12B337A8" w:rsidR="00A22EEE" w:rsidRDefault="00874C22" w:rsidP="00D66D10">
      <w:pPr>
        <w:spacing w:before="20" w:after="2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4C22">
        <w:rPr>
          <w:rFonts w:ascii="Times New Roman" w:hAnsi="Times New Roman" w:cs="Times New Roman"/>
          <w:sz w:val="24"/>
          <w:szCs w:val="24"/>
        </w:rPr>
        <w:t>В последние годы финансовые системы стран мира активно трансформируются под влиянием передовых технологий, таких как распределенный реестр (DLT), большие данные, искусственный интеллект и другие. Эти инновации не только меняют способы проведения финансовых операций, но и создают новые возможности для развития экономики. Среди них особое место занимает технология распределенного реестра, которая служит универсальной платформой для записи, хранения и передачи данных о финансовых операциях. Эта технология стала основой для возникновения нового класса активов – криптоактивов, которые отличаются частным характером эмиссии, виртуальной формой и децентрализованной системой функционирования. Их основу составляют криптографические методы и технология распределенного реестра, что обеспечивает высокий уровень безопасности и прозрачности.</w:t>
      </w:r>
    </w:p>
    <w:p w14:paraId="7A706C94" w14:textId="5C552D40" w:rsidR="00A22EEE" w:rsidRDefault="00A22EEE" w:rsidP="00D66D10">
      <w:pPr>
        <w:spacing w:before="20" w:after="2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2EEE">
        <w:rPr>
          <w:rFonts w:ascii="Times New Roman" w:hAnsi="Times New Roman" w:cs="Times New Roman"/>
          <w:sz w:val="24"/>
          <w:szCs w:val="24"/>
        </w:rPr>
        <w:t>Цифровые валюты центральных банков (ЦВЦБ) представляют собой одно из наиболее перспективных направлений развития финансовой системы в условиях цифровизации. Их внедрение способно кардинально изменить механизмы проведения транзакций, взаимодействия между участниками рынка, а также между регуляторами и экономикой в целом. С развитием технологий и ростом популярности криптоактивов, особенно стейблкойнов, возникает угроза фрагментации финансовой системы и подрыва монополии центральных банков на эмиссию национальной валюты. Эти вызовы объясняют возросший интерес центральных банков как развитых, так и развивающихся стран к исследованиям в области ЦВЦБ. Изучение опыта разных стран, включая Японию, позволяет глубже понять факторы, определяющие специфику подхода государств к внедрению финансовых инноваций.</w:t>
      </w:r>
      <w:r w:rsidR="00CC1A60">
        <w:rPr>
          <w:rFonts w:ascii="Times New Roman" w:hAnsi="Times New Roman" w:cs="Times New Roman"/>
          <w:sz w:val="24"/>
          <w:szCs w:val="24"/>
        </w:rPr>
        <w:t xml:space="preserve"> Именно этими </w:t>
      </w:r>
      <w:r w:rsidR="00CC1A60" w:rsidRPr="00CC1A60">
        <w:rPr>
          <w:rFonts w:ascii="Times New Roman" w:hAnsi="Times New Roman" w:cs="Times New Roman"/>
          <w:sz w:val="24"/>
          <w:szCs w:val="24"/>
        </w:rPr>
        <w:t>вызовами, по всей видимости, можно объяснить возросший в последнее время интерес ЦБ развитых стран к исследованиям в области ЦВЦБ</w:t>
      </w:r>
      <w:r w:rsidR="00CC1A60">
        <w:rPr>
          <w:rFonts w:ascii="Times New Roman" w:hAnsi="Times New Roman" w:cs="Times New Roman"/>
          <w:sz w:val="24"/>
          <w:szCs w:val="24"/>
        </w:rPr>
        <w:t xml:space="preserve"> и острую актуальность данной темы. </w:t>
      </w:r>
    </w:p>
    <w:p w14:paraId="64F308E9" w14:textId="0391FD68" w:rsidR="00A22EEE" w:rsidRPr="00A22EEE" w:rsidRDefault="00A22EEE" w:rsidP="00D66D10">
      <w:pPr>
        <w:spacing w:before="20" w:after="2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2EEE">
        <w:rPr>
          <w:rFonts w:ascii="Times New Roman" w:hAnsi="Times New Roman" w:cs="Times New Roman"/>
          <w:sz w:val="24"/>
          <w:szCs w:val="24"/>
        </w:rPr>
        <w:t>В отличие от других криптоактивов, ЦВЦБ имеют публичный характер эмиссии и представляют собой обязательства центрального банка. По своей сути они аналогичны традиционным фиатным деньгам, но существуют в цифровом формате. Это открывает новые возможности для финансовой системы, такие как повышение эффективности платежей, снижение издержек и улучшение финансовой доступности. Однако одновременно это создает потенциальные макроэкономические и макрофинансовые риски, включая угрозы для стабильности банковской системы и монетарного суверенитета, что требует тщательного анализа и регулирования.</w:t>
      </w:r>
    </w:p>
    <w:p w14:paraId="5937F322" w14:textId="77777777" w:rsidR="00D66D10" w:rsidRDefault="00A22EEE" w:rsidP="00D66D10">
      <w:pPr>
        <w:spacing w:before="20" w:after="2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2EEE">
        <w:rPr>
          <w:rFonts w:ascii="Times New Roman" w:hAnsi="Times New Roman" w:cs="Times New Roman"/>
          <w:sz w:val="24"/>
          <w:szCs w:val="24"/>
        </w:rPr>
        <w:t>Цифровые валюты центральных банков приобретают все большую значимость в современном мире, особенно в развивающихся странах. На сегодняшний день уже функционируют четыре цифровые национальные валюты, и все они выпущены в развивающихся странах: Багамские острова (Sand Dollar), Организация Восточных Карибских государств (DCash), Ямайка (JAM-DEX) и Нигерия (eNaira). Примечательно, что развивающиеся страны проявляют большую активность в тестировании двух основных моделей ЦВЦБ – оптовой (для межбанковских расчетов) и розничной (для использования населением) – по сравнению с развитыми государствами. Это связано с их стремлением повысить финансовую инклюзию и снизить зависимость от наличных денег.</w:t>
      </w:r>
    </w:p>
    <w:p w14:paraId="20CFB87F" w14:textId="72704C9C" w:rsidR="00A22EEE" w:rsidRPr="00A22EEE" w:rsidRDefault="00A22EEE" w:rsidP="00D66D10">
      <w:pPr>
        <w:spacing w:before="20" w:after="2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2EEE">
        <w:rPr>
          <w:rFonts w:ascii="Times New Roman" w:hAnsi="Times New Roman" w:cs="Times New Roman"/>
          <w:sz w:val="24"/>
          <w:szCs w:val="24"/>
        </w:rPr>
        <w:lastRenderedPageBreak/>
        <w:t xml:space="preserve">Интересным примером для изучения факторов, влияющих на внедрение цифровых валют центральных банков, является Япония. В июле 2020 года Банк Японии объявил о создании рабочей группы для изучения возможностей выпуска цифровой иены, включая ее применение в розничной торговле и правовые аспекты. Однако, в отличие от </w:t>
      </w:r>
      <w:r w:rsidR="00CC1A60">
        <w:rPr>
          <w:rFonts w:ascii="Times New Roman" w:hAnsi="Times New Roman" w:cs="Times New Roman"/>
          <w:sz w:val="24"/>
          <w:szCs w:val="24"/>
        </w:rPr>
        <w:t>общей тенденции на исследование и дальнейшее внедрение ЦВЦБ</w:t>
      </w:r>
      <w:r w:rsidRPr="00A22EEE">
        <w:rPr>
          <w:rFonts w:ascii="Times New Roman" w:hAnsi="Times New Roman" w:cs="Times New Roman"/>
          <w:sz w:val="24"/>
          <w:szCs w:val="24"/>
        </w:rPr>
        <w:t>, Япония не планирует в ближайшее время вводить цифровую валюту, предпочитая сосредоточиться на дальнейших исследованиях в этой области. Это связано с рядом уникальных факторов, характерных для японской экономики. Исследования показали, что подход Японии к созданию цифровой иены обусловлен рядом специфических факторов. Среди них – медленный переход населения от наличных к безналичным расчетам (доля наличных и безналичных платежей практически равна, при этом спрос на наличные деньги как средство сбережения продолжает расти), риски усиления монополизации в цифровых розничных сетях, а также недостаточная изученность влияния ЦВЦБ на экономику в целом, которая, похоже, только начала выбираться из затяжного кризисного состояния. Кроме того, в Японии существует высокий уровень доверия к традиционной банковской системе, что снижает потребность в быстром внедрении цифровой валюты. Исследование факторов, влияющих на внедрение ЦВЦБ, на примере Японии, позволяет глубже понять специфику подхода разных государств к вопросам внедрения финансовых инноваций, их готовность адаптироваться к новым вызовам и возможностям.</w:t>
      </w:r>
    </w:p>
    <w:p w14:paraId="50A17CE0" w14:textId="52773FEF" w:rsidR="00CC1A60" w:rsidRDefault="00A22EEE" w:rsidP="00D66D10">
      <w:pPr>
        <w:spacing w:before="20" w:after="2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2EEE">
        <w:rPr>
          <w:rFonts w:ascii="Times New Roman" w:hAnsi="Times New Roman" w:cs="Times New Roman"/>
          <w:sz w:val="24"/>
          <w:szCs w:val="24"/>
        </w:rPr>
        <w:t>Информационной основой исследования послужили данные официальных международных финансовых организаций, статистические материалы по Японии, аналитические отчеты по криптоактивам, опубликованные на научных платформах России, Японии и других стран, а также другие открытые источники информации.</w:t>
      </w:r>
    </w:p>
    <w:p w14:paraId="2CE246B1" w14:textId="042B23D4" w:rsidR="00C903B6" w:rsidRPr="0058455F" w:rsidRDefault="00CC1A60" w:rsidP="00CC1A60">
      <w:pPr>
        <w:spacing w:before="20" w:after="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66D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8461C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C903B6" w:rsidRPr="00012C72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14:paraId="47F67830" w14:textId="0C97B3AC" w:rsidR="00C903B6" w:rsidRPr="00BC3546" w:rsidRDefault="00830F48" w:rsidP="00012C72">
      <w:pPr>
        <w:spacing w:before="20" w:after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455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58455F" w:rsidRPr="0058455F">
        <w:rPr>
          <w:rFonts w:ascii="Times New Roman" w:hAnsi="Times New Roman" w:cs="Times New Roman"/>
          <w:sz w:val="24"/>
          <w:szCs w:val="24"/>
          <w:lang w:val="en-US"/>
        </w:rPr>
        <w:t>Brunnermeier M.K. et al. On the equivalence of private and public money // J. Monet. Econ. 2019.</w:t>
      </w:r>
    </w:p>
    <w:p w14:paraId="692C3753" w14:textId="32D47C8A" w:rsidR="00C903B6" w:rsidRDefault="00830F48" w:rsidP="00012C72">
      <w:pPr>
        <w:spacing w:before="20" w:after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C7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59143B" w:rsidRPr="00012C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455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8455F" w:rsidRPr="0058455F">
        <w:rPr>
          <w:rFonts w:ascii="Times New Roman" w:hAnsi="Times New Roman" w:cs="Times New Roman"/>
          <w:sz w:val="24"/>
          <w:szCs w:val="24"/>
          <w:lang w:val="en-US"/>
        </w:rPr>
        <w:t xml:space="preserve">entral Banks and Monetary Policy Under Conditions of CBDC // Chapter First Online: 18 February 2023. </w:t>
      </w:r>
      <w:r w:rsidR="0058455F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58455F" w:rsidRPr="0058455F">
        <w:rPr>
          <w:rFonts w:ascii="Times New Roman" w:hAnsi="Times New Roman" w:cs="Times New Roman"/>
          <w:sz w:val="24"/>
          <w:szCs w:val="24"/>
          <w:lang w:val="en-US"/>
        </w:rPr>
        <w:t>. 151–188.</w:t>
      </w:r>
    </w:p>
    <w:p w14:paraId="1AD2397B" w14:textId="2A352F7E" w:rsidR="0058455F" w:rsidRPr="00012C72" w:rsidRDefault="0058455F" w:rsidP="0058455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58455F">
        <w:rPr>
          <w:rFonts w:ascii="Times New Roman" w:hAnsi="Times New Roman" w:cs="Times New Roman"/>
          <w:sz w:val="24"/>
          <w:szCs w:val="24"/>
          <w:lang w:val="en-US"/>
        </w:rPr>
        <w:t>He D. Central Bank Digital Currency and Monetary Policy: Keynote Speech by Dong He, Deputy Director.</w:t>
      </w:r>
      <w:r w:rsidRPr="0058455F">
        <w:rPr>
          <w:lang w:val="en-US"/>
        </w:rPr>
        <w:t xml:space="preserve"> </w:t>
      </w:r>
      <w:r w:rsidRPr="0058455F">
        <w:rPr>
          <w:rFonts w:ascii="Times New Roman" w:hAnsi="Times New Roman" w:cs="Times New Roman"/>
          <w:sz w:val="24"/>
          <w:szCs w:val="24"/>
          <w:lang w:val="en-US"/>
        </w:rPr>
        <w:t>Conference Paper · April 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2181AC" w14:textId="686E9544" w:rsidR="00C903B6" w:rsidRPr="00012C72" w:rsidRDefault="0058455F" w:rsidP="00012C72">
      <w:pPr>
        <w:spacing w:before="20" w:after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30F48" w:rsidRPr="00012C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8455F">
        <w:rPr>
          <w:rFonts w:ascii="Times New Roman" w:hAnsi="Times New Roman" w:cs="Times New Roman"/>
          <w:sz w:val="24"/>
          <w:szCs w:val="24"/>
          <w:lang w:val="en-US"/>
        </w:rPr>
        <w:t>Mu Y., Mu A. CBDC: Concepts, Benefits, Risks, Design, and Implications. September 18, 2022.</w:t>
      </w:r>
    </w:p>
    <w:p w14:paraId="474473CF" w14:textId="2D8DD120" w:rsidR="00C903B6" w:rsidRPr="00012C72" w:rsidRDefault="0058455F" w:rsidP="00012C72">
      <w:pPr>
        <w:spacing w:before="20" w:after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30F48" w:rsidRPr="00012C72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1" w:name="_Hlk160140853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3B6" w:rsidRPr="00012C72">
        <w:rPr>
          <w:rFonts w:ascii="Times New Roman" w:hAnsi="Times New Roman" w:cs="Times New Roman"/>
          <w:sz w:val="24"/>
          <w:szCs w:val="24"/>
          <w:lang w:val="en-US"/>
        </w:rPr>
        <w:t>The Release of "The Bank of Japan's Approach to Central Bank Digital Currency</w:t>
      </w:r>
      <w:r w:rsidR="00A61D76" w:rsidRPr="00012C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3B6" w:rsidRPr="00012C72">
        <w:rPr>
          <w:rFonts w:ascii="Times New Roman" w:hAnsi="Times New Roman" w:cs="Times New Roman"/>
          <w:sz w:val="24"/>
          <w:szCs w:val="24"/>
          <w:lang w:val="en-US"/>
        </w:rPr>
        <w:t>(https://www.boj.or.jp/en/about/release_2020/rel201009e.htm)</w:t>
      </w:r>
      <w:bookmarkEnd w:id="0"/>
      <w:bookmarkEnd w:id="1"/>
    </w:p>
    <w:sectPr w:rsidR="00C903B6" w:rsidRPr="00012C72" w:rsidSect="00D66D1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FDD1" w14:textId="77777777" w:rsidR="003548B4" w:rsidRDefault="003548B4" w:rsidP="007D6483">
      <w:r>
        <w:separator/>
      </w:r>
    </w:p>
  </w:endnote>
  <w:endnote w:type="continuationSeparator" w:id="0">
    <w:p w14:paraId="78FCC489" w14:textId="77777777" w:rsidR="003548B4" w:rsidRDefault="003548B4" w:rsidP="007D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363C" w14:textId="77777777" w:rsidR="003548B4" w:rsidRDefault="003548B4" w:rsidP="007D6483">
      <w:r>
        <w:separator/>
      </w:r>
    </w:p>
  </w:footnote>
  <w:footnote w:type="continuationSeparator" w:id="0">
    <w:p w14:paraId="0FB04288" w14:textId="77777777" w:rsidR="003548B4" w:rsidRDefault="003548B4" w:rsidP="007D6483">
      <w:r>
        <w:continuationSeparator/>
      </w:r>
    </w:p>
  </w:footnote>
  <w:footnote w:id="1">
    <w:p w14:paraId="0E5EAEB7" w14:textId="2F8F834D" w:rsidR="007D6483" w:rsidRPr="007D6483" w:rsidRDefault="007D6483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Автор выражает признательность кандидату экономических наук, доценту кафедры международных экономических отношений стран Азии и Африки МГУ имени М.В. Ломоносова Матюниной Л.Х. за помощь в подготовке тезисов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57"/>
    <w:multiLevelType w:val="hybridMultilevel"/>
    <w:tmpl w:val="428C576E"/>
    <w:lvl w:ilvl="0" w:tplc="59C2D59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0A7ED1"/>
    <w:multiLevelType w:val="hybridMultilevel"/>
    <w:tmpl w:val="C9904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509D"/>
    <w:multiLevelType w:val="hybridMultilevel"/>
    <w:tmpl w:val="A7285CC2"/>
    <w:lvl w:ilvl="0" w:tplc="E12CD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F2FA3"/>
    <w:multiLevelType w:val="hybridMultilevel"/>
    <w:tmpl w:val="FFA60A1E"/>
    <w:lvl w:ilvl="0" w:tplc="E12CD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C6ABB"/>
    <w:multiLevelType w:val="hybridMultilevel"/>
    <w:tmpl w:val="914A4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930946"/>
    <w:multiLevelType w:val="hybridMultilevel"/>
    <w:tmpl w:val="CF5EE8CE"/>
    <w:lvl w:ilvl="0" w:tplc="E12CD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94644">
    <w:abstractNumId w:val="1"/>
  </w:num>
  <w:num w:numId="2" w16cid:durableId="1044210118">
    <w:abstractNumId w:val="5"/>
  </w:num>
  <w:num w:numId="3" w16cid:durableId="1873683953">
    <w:abstractNumId w:val="3"/>
  </w:num>
  <w:num w:numId="4" w16cid:durableId="1876505352">
    <w:abstractNumId w:val="2"/>
  </w:num>
  <w:num w:numId="5" w16cid:durableId="1536501360">
    <w:abstractNumId w:val="4"/>
  </w:num>
  <w:num w:numId="6" w16cid:durableId="177663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5D"/>
    <w:rsid w:val="00012C72"/>
    <w:rsid w:val="00024EA5"/>
    <w:rsid w:val="0008461C"/>
    <w:rsid w:val="000A2E2A"/>
    <w:rsid w:val="000F3D3A"/>
    <w:rsid w:val="00142AE3"/>
    <w:rsid w:val="00195A52"/>
    <w:rsid w:val="001F7AD6"/>
    <w:rsid w:val="00302F53"/>
    <w:rsid w:val="0031642C"/>
    <w:rsid w:val="003548B4"/>
    <w:rsid w:val="003855E4"/>
    <w:rsid w:val="00401BDC"/>
    <w:rsid w:val="0058455F"/>
    <w:rsid w:val="00586F5D"/>
    <w:rsid w:val="0059143B"/>
    <w:rsid w:val="006F4D84"/>
    <w:rsid w:val="00784A85"/>
    <w:rsid w:val="007D6483"/>
    <w:rsid w:val="007F63CE"/>
    <w:rsid w:val="00801DC8"/>
    <w:rsid w:val="00830F48"/>
    <w:rsid w:val="00874C22"/>
    <w:rsid w:val="008B226E"/>
    <w:rsid w:val="00960C58"/>
    <w:rsid w:val="009C4280"/>
    <w:rsid w:val="00A22EEE"/>
    <w:rsid w:val="00A24DF1"/>
    <w:rsid w:val="00A61D76"/>
    <w:rsid w:val="00AB5AFD"/>
    <w:rsid w:val="00AC6373"/>
    <w:rsid w:val="00B055DB"/>
    <w:rsid w:val="00B85643"/>
    <w:rsid w:val="00BB7F41"/>
    <w:rsid w:val="00BC3546"/>
    <w:rsid w:val="00C60DCB"/>
    <w:rsid w:val="00C903B6"/>
    <w:rsid w:val="00CC1A60"/>
    <w:rsid w:val="00D66D10"/>
    <w:rsid w:val="00DC0C5E"/>
    <w:rsid w:val="00EB757B"/>
    <w:rsid w:val="00F2050A"/>
    <w:rsid w:val="00FC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F5DA"/>
  <w15:chartTrackingRefBased/>
  <w15:docId w15:val="{BAD6D03F-03AF-492A-8828-EA85E61D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F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0F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0F48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7D648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D648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D64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84B9-838A-4F70-99D1-B28F5BDA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Кисляк</dc:creator>
  <cp:keywords/>
  <dc:description/>
  <cp:lastModifiedBy>Анастасия Кисляк</cp:lastModifiedBy>
  <cp:revision>5</cp:revision>
  <dcterms:created xsi:type="dcterms:W3CDTF">2025-03-03T07:43:00Z</dcterms:created>
  <dcterms:modified xsi:type="dcterms:W3CDTF">2025-03-09T16:45:00Z</dcterms:modified>
</cp:coreProperties>
</file>