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5C" w:rsidRDefault="00766842" w:rsidP="007668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842">
        <w:rPr>
          <w:rFonts w:ascii="Times New Roman" w:eastAsia="Times New Roman" w:hAnsi="Times New Roman" w:cs="Times New Roman"/>
          <w:b/>
          <w:sz w:val="24"/>
          <w:szCs w:val="24"/>
        </w:rPr>
        <w:t>Способы выражения гендерных особенностей речи при переводе с японского языка на русский</w:t>
      </w:r>
    </w:p>
    <w:p w:rsidR="00766842" w:rsidRDefault="00766842" w:rsidP="0076684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Хилюшкина Елена Романовна</w:t>
      </w:r>
    </w:p>
    <w:p w:rsidR="00766842" w:rsidRDefault="00766842" w:rsidP="0076684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 бакалавриата</w:t>
      </w:r>
    </w:p>
    <w:p w:rsidR="00766842" w:rsidRDefault="00766842" w:rsidP="0076684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Институт стран Азии и Африки, Москва, Россия </w:t>
      </w:r>
    </w:p>
    <w:p w:rsidR="00766842" w:rsidRPr="00766842" w:rsidRDefault="00766842" w:rsidP="0076684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6" w:history="1">
        <w:r w:rsidRPr="00AC268C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elenakhilyushkina</w:t>
        </w:r>
        <w:r w:rsidRPr="00766842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Pr="00AC268C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Pr="00766842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Pr="00AC268C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766842" w:rsidRPr="00E74D6A" w:rsidRDefault="00766842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Гендерные особенности речи представляют собой одну из актуальных тем лингвистических исследований и теории перевода. Японский язык предоставляет объемный материал для анализа способов выражения гендерной идентичности в речевом поведении. В японском обществе традиционно существуют четкие различия</w:t>
      </w:r>
      <w:r w:rsidR="00E74D6A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мужской и женской реч</w:t>
      </w:r>
      <w:r w:rsidR="00E74D6A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ью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обуславливает необходимость особого подхода при переводе текстов на другие языки, включая русский.</w:t>
      </w:r>
    </w:p>
    <w:p w:rsidR="00720A44" w:rsidRPr="00E74D6A" w:rsidRDefault="00720A44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японском языке гендерные различия проявляются на различных уровнях: в использовании местоимений, частиц, лексики и грамматических конструкций. Однако при переводе на русский язык, где гендерные маркеры и особенности речи выражены слабее и не имеют такой же систематичности, возникают значительные сложности. Это делает исследование способов передачи гендерных особенностей речи актуальным как для теории перевода, так и для практики межкультурной коммуникации. Понимание и корректная передача этих особенностей важны для сохранения культурного контекста и характера персонажей в переводах японской литературы, аниме, манги и других источников. </w:t>
      </w:r>
    </w:p>
    <w:p w:rsidR="00720A44" w:rsidRPr="00E74D6A" w:rsidRDefault="00720A44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Целью исследования является анализ способов выражения гендерных особенностей речи при переводе с японского языка на русский, а также разработка стратегий, позволяющих передать эти особенности в условиях отсутствия прямых эквивалентов в русском языке. </w:t>
      </w:r>
    </w:p>
    <w:p w:rsidR="00720A44" w:rsidRPr="00E74D6A" w:rsidRDefault="00720A44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гипотезой исследования является предположение о том, что гендерные особенности японской речи могут быть переданы на русский язык через</w:t>
      </w:r>
      <w:r w:rsid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4D6A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калькирование, а также компенсаторные стратегии, включающие адаптацию и использование стилистических средств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Предполагается, что успешный перевод требует не только лингвистических знаний, но и глубокого понимания культурного контекста. Также выдвигается гипотеза о том, что выбор стратегии перевода зависит от жанра текста и целевой аудитории.</w:t>
      </w:r>
    </w:p>
    <w:p w:rsidR="00720A44" w:rsidRPr="00E74D6A" w:rsidRDefault="00720A44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Методами исследования стали сравнительный анализ и метод свободной выборки. В рамках работы проведен сопоставительный анализ оригинального текста манги и перевода на русский язык, описаны стратегии перевода и дана их оценка.</w:t>
      </w:r>
    </w:p>
    <w:p w:rsidR="00720A44" w:rsidRPr="00E74D6A" w:rsidRDefault="00720A44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исследования были проанализированы переводы нескольких произведений «Безумный азарт» и «Записки о лечении волшебных зверей», так как в этих примерах манги встречается гендерно-окрашенная лексика. Были выделены ключевые гендерные маркеры, такие как использование разных личных местоимений, характерных для женщин и для мужчин</w:t>
      </w:r>
      <w:r w:rsidR="00B054D0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различные 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частиц</w:t>
      </w:r>
      <w:r w:rsidR="00B054D0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ы, разная степень вежливости при общении 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B054D0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лексические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54D0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основе анализа были составлены таблицы, демонстрирующие</w:t>
      </w:r>
      <w:r w:rsidR="00B054D0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гендерных маркеров в оригинальных текстах и способы и</w:t>
      </w:r>
      <w:r w:rsidR="00A77986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B054D0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передачи</w:t>
      </w:r>
      <w:r w:rsidR="00C31EFF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переводах.</w:t>
      </w:r>
    </w:p>
    <w:p w:rsidR="0002646F" w:rsidRPr="00E74D6A" w:rsidRDefault="0002646F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результаты исследования заключаются в выявлении</w:t>
      </w:r>
      <w:r w:rsidR="00720A44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ключевых гендерных маркеров в японской речи 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а</w:t>
      </w:r>
      <w:r w:rsidR="00720A44"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нализ успешных и неудачных примеров перевода, демонстрирующих важность учета культурного контек</w:t>
      </w: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ста.</w:t>
      </w:r>
      <w:bookmarkStart w:id="0" w:name="_GoBack"/>
      <w:bookmarkEnd w:id="0"/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Результаты исследования показали, что наиболее распространенными стратегиями перевода являются: контекстуальная адаптация, эквиваленция и компрессия.</w:t>
      </w:r>
    </w:p>
    <w:p w:rsidR="00766842" w:rsidRPr="00E74D6A" w:rsidRDefault="00720A44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Исследование подтвердило, что перевод гендерных особенностей речи с японского языка на русский требует комплексного подхода, сочетающего лингвистические и культурные знания. Перспективы дальнейшего исследования включают разработку методик перевода для различных жанров, а также сравнительный анализ переводов на другие языки. Это позволит выявить универсальные подходы к передаче гендерно-окрашенной речи и укрепить культурные связи между Японией и другими странами.</w:t>
      </w:r>
    </w:p>
    <w:p w:rsidR="00A77986" w:rsidRPr="00E74D6A" w:rsidRDefault="00A77986" w:rsidP="00E74D6A">
      <w:pPr>
        <w:spacing w:after="0"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46F" w:rsidRPr="00E74D6A" w:rsidRDefault="0002646F" w:rsidP="00E74D6A">
      <w:pPr>
        <w:spacing w:line="240" w:lineRule="auto"/>
        <w:ind w:left="397" w:firstLine="3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используемой литературы: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D6A">
        <w:rPr>
          <w:rFonts w:ascii="Times New Roman" w:hAnsi="Times New Roman" w:cs="Times New Roman"/>
          <w:sz w:val="24"/>
          <w:szCs w:val="24"/>
          <w:lang w:val="en-US"/>
        </w:rPr>
        <w:t>Giancarla, U.-S. What text can tell us about male and female characters in shōjo- and shōnen-manga / U.-S. Giancarla. // East Asian Journal of Popular Culture. – 2015. – Vol. 1. – No 1. – P. 133 – 152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>Ide, S. Japanese. Women’s language as a group identity marker in Japanese / S. Ide. // John Benjamins Publishing Company. – 2003. – P. 227–238. – ISBN: 9789027296818.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D6A">
        <w:rPr>
          <w:rFonts w:ascii="Times New Roman" w:hAnsi="Times New Roman" w:cs="Times New Roman"/>
          <w:sz w:val="24"/>
          <w:szCs w:val="24"/>
          <w:lang w:val="en-US"/>
        </w:rPr>
        <w:t xml:space="preserve">Lakoff R. Language and Woman's Place. / R. Lakoff // Language in Society. – Cambridge University Press, 2009. – № 1. – </w:t>
      </w:r>
      <w:r w:rsidRPr="00E74D6A">
        <w:rPr>
          <w:rFonts w:ascii="Times New Roman" w:hAnsi="Times New Roman" w:cs="Times New Roman"/>
          <w:sz w:val="24"/>
          <w:szCs w:val="24"/>
        </w:rPr>
        <w:t>С</w:t>
      </w:r>
      <w:r w:rsidRPr="00E74D6A">
        <w:rPr>
          <w:rFonts w:ascii="Times New Roman" w:hAnsi="Times New Roman" w:cs="Times New Roman"/>
          <w:sz w:val="24"/>
          <w:szCs w:val="24"/>
          <w:lang w:val="en-US"/>
        </w:rPr>
        <w:t>. 45–80.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D6A">
        <w:rPr>
          <w:rFonts w:ascii="Times New Roman" w:hAnsi="Times New Roman" w:cs="Times New Roman"/>
          <w:sz w:val="24"/>
          <w:szCs w:val="24"/>
          <w:lang w:val="en-US"/>
        </w:rPr>
        <w:t xml:space="preserve">Nakamura M. Gender, language and ideology: A genealogy of Japanese women’s language. // </w:t>
      </w:r>
      <w:hyperlink r:id="rId7" w:tgtFrame="_blank" w:history="1">
        <w:r w:rsidRPr="00E74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researchgate.net</w:t>
        </w:r>
      </w:hyperlink>
      <w:r w:rsidRPr="00E74D6A">
        <w:rPr>
          <w:rFonts w:ascii="Times New Roman" w:hAnsi="Times New Roman" w:cs="Times New Roman"/>
          <w:sz w:val="24"/>
          <w:szCs w:val="24"/>
          <w:lang w:val="en-US"/>
        </w:rPr>
        <w:t>：</w:t>
      </w:r>
      <w:r w:rsidRPr="00E74D6A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E74D6A">
        <w:rPr>
          <w:rFonts w:ascii="Times New Roman" w:hAnsi="Times New Roman" w:cs="Times New Roman"/>
          <w:sz w:val="24"/>
          <w:szCs w:val="24"/>
        </w:rPr>
        <w:t>сайт</w:t>
      </w:r>
      <w:r w:rsidRPr="00E74D6A">
        <w:rPr>
          <w:rFonts w:ascii="Times New Roman" w:hAnsi="Times New Roman" w:cs="Times New Roman"/>
          <w:sz w:val="24"/>
          <w:szCs w:val="24"/>
          <w:lang w:val="en-US"/>
        </w:rPr>
        <w:t>]. – 2014. - 506 </w:t>
      </w:r>
      <w:r w:rsidRPr="00E74D6A">
        <w:rPr>
          <w:rFonts w:ascii="Times New Roman" w:hAnsi="Times New Roman" w:cs="Times New Roman"/>
          <w:sz w:val="24"/>
          <w:szCs w:val="24"/>
        </w:rPr>
        <w:t>с</w:t>
      </w:r>
      <w:r w:rsidRPr="00E74D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D6A">
        <w:rPr>
          <w:rFonts w:ascii="Times New Roman" w:hAnsi="Times New Roman" w:cs="Times New Roman"/>
          <w:sz w:val="24"/>
          <w:szCs w:val="24"/>
          <w:lang w:val="en-US"/>
        </w:rPr>
        <w:t xml:space="preserve">Okamoto S. “Tasteless” Japanese: Less “Feminine” Speech among Young Japanese Women.. : / S. Okamoto. – // </w:t>
      </w:r>
      <w:hyperlink r:id="rId8" w:tgtFrame="_blank" w:history="1">
        <w:r w:rsidRPr="00E74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web.stanford.edu</w:t>
        </w:r>
      </w:hyperlink>
      <w:r w:rsidRPr="00E74D6A">
        <w:rPr>
          <w:rFonts w:ascii="Times New Roman" w:hAnsi="Times New Roman" w:cs="Times New Roman"/>
          <w:sz w:val="24"/>
          <w:szCs w:val="24"/>
          <w:lang w:val="en-US"/>
        </w:rPr>
        <w:t> : [</w:t>
      </w:r>
      <w:r w:rsidRPr="00E74D6A">
        <w:rPr>
          <w:rFonts w:ascii="Times New Roman" w:hAnsi="Times New Roman" w:cs="Times New Roman"/>
          <w:sz w:val="24"/>
          <w:szCs w:val="24"/>
        </w:rPr>
        <w:t>сайт</w:t>
      </w:r>
      <w:r w:rsidRPr="00E74D6A">
        <w:rPr>
          <w:rFonts w:ascii="Times New Roman" w:hAnsi="Times New Roman" w:cs="Times New Roman"/>
          <w:sz w:val="24"/>
          <w:szCs w:val="24"/>
          <w:lang w:val="en-US"/>
        </w:rPr>
        <w:t>]. – 1995. – 29 </w:t>
      </w:r>
      <w:r w:rsidRPr="00E74D6A">
        <w:rPr>
          <w:rFonts w:ascii="Times New Roman" w:hAnsi="Times New Roman" w:cs="Times New Roman"/>
          <w:sz w:val="24"/>
          <w:szCs w:val="24"/>
        </w:rPr>
        <w:t>с</w:t>
      </w:r>
      <w:r w:rsidRPr="00E74D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D6A">
        <w:rPr>
          <w:rFonts w:ascii="Times New Roman" w:hAnsi="Times New Roman" w:cs="Times New Roman"/>
          <w:sz w:val="24"/>
          <w:szCs w:val="24"/>
          <w:lang w:val="en-US"/>
        </w:rPr>
        <w:t xml:space="preserve">Tompowsky, R. An exploration of gender-specific language in Japanese popular culture. 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 xml:space="preserve">Алпатов, В. М. О мужском и женском вариантах японского языка. / В. М. Алпатов, Т. Б. Крючкова // Вопросы языкознания. – Москва, 1980. – No 3. С. 58 – 68. 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 xml:space="preserve">Алпатов, В. М. Япония: язык и общество : монография / В. М. Алпатов. – Москва : Муравей, 2003. – 134 с. – ISBN: 5-8463-0093-6 – 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 xml:space="preserve">Божанова, Н. Г. Гендерные исследования в лингвистике: история, современность, перспективы / Н.Г. Божанова // Вестник Тамбовского университета. – 2012. – No 5 (109). – С. 69 – 74. 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 xml:space="preserve">Войченко, В. М. Отражение гендерных стереотипов в языке и культуре / В. М. Войченко. // Вестник ВолГУ. Серия 2: Языкознание. – 2009. – №1. – С. 64 – 70. 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>Идэ С. Онна-но-котоба, отоко-но котоба (Женская речь и мужская речь). / Идэ С. – Токио: Нихон кэйдзай цуйсинся, 1994. – 13 с.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Кирилина, Алла Викторовна.</w:t>
      </w:r>
      <w:r w:rsidR="00A77986" w:rsidRPr="00E74D6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E74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Гендер: лингвистические аспекты / А. В. Кирилина. - Москва : Ин-т социологии РАН, 1999. - 189 с.; 20 см.; ISBN 5-89697-42-0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>Колпакова, Л. В. Проявление гендерной специфики эмоциональной сферы личности в языке / Л. В. Колпакова – DOI 10.23951/1609-624X-2018- 6-62-67. // Вестник TГПУ. – 2018. – No 6 (195). – С. 62 – 67.</w:t>
      </w:r>
    </w:p>
    <w:p w:rsidR="00C31EF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 xml:space="preserve">Крнета, Н. Д. Изменения в системе личных местоимений японского языка в ХХ в / Н. Крнета. // Труды Института востоковедения РАН. // 2020. – No 29. – С. 81 – 89 </w:t>
      </w:r>
    </w:p>
    <w:p w:rsidR="00E74D6A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D6A">
        <w:rPr>
          <w:rFonts w:ascii="Times New Roman" w:hAnsi="Times New Roman" w:cs="Times New Roman"/>
          <w:sz w:val="24"/>
          <w:szCs w:val="24"/>
        </w:rPr>
        <w:t>Крнета, Н. Д. Мужская и женская речь в современном японском языке : специальность 10.02.22 «Языки народов зарубежных стран Европы, Азии, Африки, аборигенов Америки и Австралии» (индо-иранские языки, синитические языки, алтайские языки, афразийские и нигеро-конголезские языки) : автореф. дис. … канд. филол. наук / Крнета Наталия Драголюбовна. – Москва, 2003. – 23 с.</w:t>
      </w:r>
    </w:p>
    <w:p w:rsidR="0002646F" w:rsidRPr="00E74D6A" w:rsidRDefault="00C31EFF" w:rsidP="00E74D6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D6A">
        <w:rPr>
          <w:rFonts w:ascii="Times New Roman" w:hAnsi="Times New Roman" w:cs="Times New Roman"/>
          <w:sz w:val="24"/>
          <w:szCs w:val="24"/>
        </w:rPr>
        <w:t xml:space="preserve">Крнета, Н. Д. О некоторых особенностях мужской и женской речи в японском языке на уровне синтаксиса. / Н. Д. Крнета. // Языки Дальнего Востока, Юго-восточной Азии и Западной Африки : материалы XII Междунар. конф. (Москва, 16 – 17 ноября 2016 года) / Под общ. ред. Б.В. Касевича, А.Ю. Вихровой, И.М. Румянцевой. – Москва : Языки Народов Мира, 2016. – С. 129-136 </w:t>
      </w:r>
    </w:p>
    <w:sectPr w:rsidR="0002646F" w:rsidRPr="00E74D6A" w:rsidSect="00720A4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0A68"/>
    <w:multiLevelType w:val="hybridMultilevel"/>
    <w:tmpl w:val="CA16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5B"/>
    <w:rsid w:val="0002646F"/>
    <w:rsid w:val="000F3FFA"/>
    <w:rsid w:val="00720A44"/>
    <w:rsid w:val="00766842"/>
    <w:rsid w:val="00954FF9"/>
    <w:rsid w:val="009F3C89"/>
    <w:rsid w:val="00A77986"/>
    <w:rsid w:val="00B054D0"/>
    <w:rsid w:val="00C31EFF"/>
    <w:rsid w:val="00C87E5B"/>
    <w:rsid w:val="00D956D5"/>
    <w:rsid w:val="00E74D6A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CDCF"/>
  <w15:chartTrackingRefBased/>
  <w15:docId w15:val="{D68741C7-370B-497E-84EA-FF1D804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6842"/>
    <w:pPr>
      <w:spacing w:after="160" w:line="259" w:lineRule="auto"/>
      <w:ind w:firstLine="709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6842"/>
    <w:rPr>
      <w:color w:val="0563C1"/>
      <w:u w:val="single"/>
    </w:rPr>
  </w:style>
  <w:style w:type="character" w:customStyle="1" w:styleId="is-markup">
    <w:name w:val="is-markup"/>
    <w:rsid w:val="0002646F"/>
  </w:style>
  <w:style w:type="paragraph" w:styleId="a4">
    <w:name w:val="List Paragraph"/>
    <w:basedOn w:val="a"/>
    <w:uiPriority w:val="34"/>
    <w:qFormat/>
    <w:rsid w:val="00FF045C"/>
    <w:pPr>
      <w:ind w:left="720"/>
      <w:contextualSpacing/>
    </w:pPr>
  </w:style>
  <w:style w:type="character" w:styleId="a5">
    <w:name w:val="Strong"/>
    <w:uiPriority w:val="22"/>
    <w:qFormat/>
    <w:rsid w:val="00C31EFF"/>
    <w:rPr>
      <w:b/>
      <w:bCs/>
    </w:rPr>
  </w:style>
  <w:style w:type="character" w:customStyle="1" w:styleId="time">
    <w:name w:val="time"/>
    <w:rsid w:val="00C31EFF"/>
  </w:style>
  <w:style w:type="character" w:customStyle="1" w:styleId="tgico">
    <w:name w:val="tgico"/>
    <w:rsid w:val="00C31EFF"/>
  </w:style>
  <w:style w:type="character" w:customStyle="1" w:styleId="i18n">
    <w:name w:val="i18n"/>
    <w:rsid w:val="00C31EFF"/>
  </w:style>
  <w:style w:type="character" w:styleId="a6">
    <w:name w:val="annotation reference"/>
    <w:uiPriority w:val="99"/>
    <w:semiHidden/>
    <w:unhideWhenUsed/>
    <w:rsid w:val="00A779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798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77986"/>
    <w:rPr>
      <w:rFonts w:cs="Calibri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798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77986"/>
    <w:rPr>
      <w:rFonts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7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77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134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556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866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4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3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5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5633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85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5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4000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2376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tanford.ed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earchgate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khilyushkin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7E4F-5A34-4124-9CA2-416E2D81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Links>
    <vt:vector size="18" baseType="variant">
      <vt:variant>
        <vt:i4>5963801</vt:i4>
      </vt:variant>
      <vt:variant>
        <vt:i4>6</vt:i4>
      </vt:variant>
      <vt:variant>
        <vt:i4>0</vt:i4>
      </vt:variant>
      <vt:variant>
        <vt:i4>5</vt:i4>
      </vt:variant>
      <vt:variant>
        <vt:lpwstr>https://web.stanford.edu/</vt:lpwstr>
      </vt:variant>
      <vt:variant>
        <vt:lpwstr/>
      </vt:variant>
      <vt:variant>
        <vt:i4>1376283</vt:i4>
      </vt:variant>
      <vt:variant>
        <vt:i4>3</vt:i4>
      </vt:variant>
      <vt:variant>
        <vt:i4>0</vt:i4>
      </vt:variant>
      <vt:variant>
        <vt:i4>5</vt:i4>
      </vt:variant>
      <vt:variant>
        <vt:lpwstr>https://researchgate.net/</vt:lpwstr>
      </vt:variant>
      <vt:variant>
        <vt:lpwstr/>
      </vt:variant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mailto:elenakhilyushkina@gmail.com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Хилюшкина</dc:creator>
  <cp:keywords/>
  <dc:description/>
  <cp:lastModifiedBy>Елена Хилюшкина</cp:lastModifiedBy>
  <cp:revision>2</cp:revision>
  <dcterms:created xsi:type="dcterms:W3CDTF">2025-03-02T10:31:00Z</dcterms:created>
  <dcterms:modified xsi:type="dcterms:W3CDTF">2025-03-02T10:31:00Z</dcterms:modified>
</cp:coreProperties>
</file>