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Реконструкция образов древнеарабских божеств и персонажей низшей мифологии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лингвокультурологический анализ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Дунай Е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студент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Белорусский государственный университет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,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Факультет международных отношений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Минск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Беларусь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en-US"/>
        </w:rPr>
        <w:t>E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</w:rPr>
        <w:t>–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</w:rPr>
        <w:t>mail: catherine.dounai@gmail.com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Древняя Аравия – колыбель рождения и развития арабской цивилизации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Ее культура представляет собой важнейшую область для исследования доисламских верований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Однако источники изучения крайне ограничены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небольшое количество надписей и резных фигур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доисламская поэзия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внешние источники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еврейские и греческие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мусульманская литература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Коран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хадисы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произведения исламских авторитетов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данные фольклора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этнографии и художественная литература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Реконструкция образов нам видится актуальной на современном уровне научного знания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Для более эффективного результата предпринята попытка комплексного анализа древнеарабских верований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реконструкции образов доисламского пантеона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spacing w:val="0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При рассмотрении данной темы невозможно обойти вопрос о происхождении термина и понятия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джинн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Существует две основные версии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трансформация заимствованного из авестийского языка термина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 xml:space="preserve">джайни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связь с арабским корнем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джим нун нун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иранской традиции древнейшим названием божественных сущностей с негативными чертами является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 xml:space="preserve">дэв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авест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даэва</w:t>
      </w:r>
      <w:r>
        <w:rPr>
          <w:rFonts w:ascii="Times New Roman" w:hAnsi="Times New Roman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</w:rPr>
        <w:t>древнеперс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дайва</w:t>
      </w:r>
      <w:r>
        <w:rPr>
          <w:rFonts w:ascii="Times New Roman" w:hAnsi="Times New Roman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фарси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дивы</w:t>
      </w:r>
      <w:r>
        <w:rPr>
          <w:rFonts w:ascii="Times New Roman" w:hAnsi="Times New Roman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Только в одном сочинении на пехлевийском языке из известных нам встречается слово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джинн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Roman" w:hAnsi="Times Roman" w:hint="default"/>
          <w:i w:val="1"/>
          <w:iCs w:val="1"/>
          <w:spacing w:val="0"/>
          <w:u w:color="000000"/>
          <w:rtl w:val="0"/>
          <w:lang w:val="ru-RU"/>
        </w:rPr>
        <w:t xml:space="preserve">«Все дивы и злые духи сбежались с жалобой к своему главарю диву Гавпайю – предводителю войска шайтанов и вождю гнусных джиннов» 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[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2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].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В толковом словаре персидского языка Деххода отмечается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 xml:space="preserve">что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pacing w:val="0"/>
          <w:u w:color="000000"/>
          <w:rtl w:val="0"/>
          <w:cs w:val="1"/>
          <w:lang w:val="ru-RU"/>
        </w:rPr>
        <w:t>جـــن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 xml:space="preserve"> и другие слова с данным корнем заимствованы из арабского языка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 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[3]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В арабском языке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напротив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от корня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جــــ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1"/>
          <w:lang w:val="ar-SA" w:bidi="ar-SA"/>
        </w:rPr>
        <w:t>نن</w:t>
      </w:r>
      <w:r>
        <w:rPr>
          <w:rFonts w:ascii="Times New Roman" w:hAnsi="Times New Roman"/>
          <w:u w:color="000000"/>
          <w:rtl w:val="0"/>
          <w:lang w:val="ru-RU"/>
        </w:rPr>
        <w:t xml:space="preserve"> (</w:t>
      </w:r>
      <w:r>
        <w:rPr>
          <w:rFonts w:ascii="Times New Roman" w:hAnsi="Times New Roman" w:hint="default"/>
          <w:u w:color="000000"/>
          <w:rtl w:val="0"/>
          <w:lang w:val="ru-RU"/>
        </w:rPr>
        <w:t>ʒ</w:t>
      </w:r>
      <w:r>
        <w:rPr>
          <w:rFonts w:ascii="Times New Roman" w:hAnsi="Times New Roman"/>
          <w:u w:color="000000"/>
          <w:rtl w:val="0"/>
          <w:lang w:val="ru-RU"/>
        </w:rPr>
        <w:t>nn) (d</w:t>
      </w:r>
      <w:r>
        <w:rPr>
          <w:rFonts w:ascii="Times New Roman" w:hAnsi="Times New Roman" w:hint="default"/>
          <w:u w:color="000000"/>
          <w:rtl w:val="0"/>
          <w:lang w:val="ru-RU"/>
        </w:rPr>
        <w:t>ž</w:t>
      </w:r>
      <w:r>
        <w:rPr>
          <w:rFonts w:ascii="Times New Roman" w:hAnsi="Times New Roman"/>
          <w:u w:color="000000"/>
          <w:rtl w:val="0"/>
          <w:lang w:val="ru-RU"/>
        </w:rPr>
        <w:t>i</w:t>
      </w:r>
      <w:r>
        <w:rPr>
          <w:rFonts w:ascii="Times New Roman" w:hAnsi="Times New Roman" w:hint="default"/>
          <w:u w:color="000000"/>
          <w:rtl w:val="0"/>
          <w:lang w:val="ru-RU"/>
        </w:rPr>
        <w:t>̄</w:t>
      </w:r>
      <w:r>
        <w:rPr>
          <w:rFonts w:ascii="Times New Roman" w:hAnsi="Times New Roman"/>
          <w:u w:color="000000"/>
          <w:rtl w:val="0"/>
          <w:lang w:val="ru-RU"/>
        </w:rPr>
        <w:t>m nu</w:t>
      </w:r>
      <w:r>
        <w:rPr>
          <w:rFonts w:ascii="Times New Roman" w:hAnsi="Times New Roman" w:hint="default"/>
          <w:u w:color="000000"/>
          <w:rtl w:val="0"/>
          <w:lang w:val="ru-RU"/>
        </w:rPr>
        <w:t>̄</w:t>
      </w:r>
      <w:r>
        <w:rPr>
          <w:rFonts w:ascii="Times New Roman" w:hAnsi="Times New Roman"/>
          <w:u w:color="000000"/>
          <w:rtl w:val="0"/>
          <w:lang w:val="ru-RU"/>
        </w:rPr>
        <w:t>n nu</w:t>
      </w:r>
      <w:r>
        <w:rPr>
          <w:rFonts w:ascii="Times New Roman" w:hAnsi="Times New Roman" w:hint="default"/>
          <w:u w:color="000000"/>
          <w:rtl w:val="0"/>
          <w:lang w:val="ru-RU"/>
        </w:rPr>
        <w:t>̄</w:t>
      </w:r>
      <w:r>
        <w:rPr>
          <w:rFonts w:ascii="Times New Roman" w:hAnsi="Times New Roman"/>
          <w:u w:color="000000"/>
          <w:rtl w:val="0"/>
          <w:lang w:val="ru-RU"/>
        </w:rPr>
        <w:t xml:space="preserve">n) </w:t>
      </w:r>
      <w:r>
        <w:rPr>
          <w:rFonts w:ascii="Times New Roman" w:hAnsi="Times New Roman" w:hint="default"/>
          <w:u w:color="000000"/>
          <w:rtl w:val="0"/>
          <w:lang w:val="ru-RU"/>
        </w:rPr>
        <w:t>происходит множество арабских слов</w:t>
      </w:r>
      <w:r>
        <w:rPr>
          <w:rFonts w:ascii="Times New Roman" w:hAnsi="Times New Roman"/>
          <w:u w:color="000000"/>
          <w:rtl w:val="0"/>
          <w:lang w:val="ru-RU"/>
        </w:rPr>
        <w:t xml:space="preserve"> [1]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Можно выделить два основных значения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‘скрытое от зрения и слуха’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‘дух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спирит’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Во многих европейских языках известно слово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гений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берущее начало от латинского 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genius </w:t>
      </w:r>
      <w:r>
        <w:rPr>
          <w:rFonts w:ascii="Times New Roman" w:hAnsi="Times New Roman" w:hint="default"/>
          <w:u w:color="000000"/>
          <w:rtl w:val="0"/>
          <w:lang w:val="ru-RU"/>
        </w:rPr>
        <w:t>‘гений’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‘дух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хранитель’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Вопрос состоит в том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является ли оно собственно латинским или заимствовано из арабского языка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 одной из версий 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genius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образовано от латинского 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gigno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или 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geno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‘рождаю’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‘произвожу’</w:t>
      </w:r>
      <w:r>
        <w:rPr>
          <w:rFonts w:ascii="Times New Roman" w:hAnsi="Times New Roman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</w:rPr>
        <w:t>Мы склонны считать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изначально оно связано с арабским языком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подтверждается работой 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Пихана «</w:t>
      </w:r>
      <w:r>
        <w:rPr>
          <w:rFonts w:ascii="Times New Roman" w:hAnsi="Times New Roman"/>
          <w:u w:color="000000"/>
          <w:rtl w:val="0"/>
          <w:lang w:val="ru-RU"/>
        </w:rPr>
        <w:t>Glossaire des mots fran</w:t>
      </w:r>
      <w:r>
        <w:rPr>
          <w:rFonts w:ascii="Times New Roman" w:hAnsi="Times New Roman" w:hint="default"/>
          <w:u w:color="000000"/>
          <w:rtl w:val="0"/>
          <w:lang w:val="ru-RU"/>
        </w:rPr>
        <w:t>ç</w:t>
      </w:r>
      <w:r>
        <w:rPr>
          <w:rFonts w:ascii="Times New Roman" w:hAnsi="Times New Roman"/>
          <w:u w:color="000000"/>
          <w:rtl w:val="0"/>
          <w:lang w:val="ru-RU"/>
        </w:rPr>
        <w:t>ais tir</w:t>
      </w:r>
      <w:r>
        <w:rPr>
          <w:rFonts w:ascii="Times New Roman" w:hAnsi="Times New Roman" w:hint="default"/>
          <w:u w:color="000000"/>
          <w:rtl w:val="0"/>
          <w:lang w:val="ru-RU"/>
        </w:rPr>
        <w:t>é</w:t>
      </w:r>
      <w:r>
        <w:rPr>
          <w:rFonts w:ascii="Times New Roman" w:hAnsi="Times New Roman"/>
          <w:u w:color="000000"/>
          <w:rtl w:val="0"/>
          <w:lang w:val="ru-RU"/>
        </w:rPr>
        <w:t>s de l'arabe, du persan et du turc</w:t>
      </w:r>
      <w:r>
        <w:rPr>
          <w:rFonts w:ascii="Times New Roman" w:hAnsi="Times New Roman" w:hint="default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где указывается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французское слово 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>g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é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nie </w:t>
      </w:r>
      <w:r>
        <w:rPr>
          <w:rFonts w:ascii="Times New Roman" w:hAnsi="Times New Roman" w:hint="default"/>
          <w:u w:color="000000"/>
          <w:rtl w:val="0"/>
          <w:lang w:val="ru-RU"/>
        </w:rPr>
        <w:t>имеет два значения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</w:rPr>
        <w:t>‘гений’ и ‘демон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джинн’</w:t>
      </w:r>
      <w:r>
        <w:rPr>
          <w:rFonts w:ascii="Times New Roman" w:hAnsi="Times New Roman" w:hint="default"/>
          <w:u w:color="000000"/>
          <w:rtl w:val="0"/>
          <w:lang w:val="ru-RU"/>
        </w:rPr>
        <w:t> </w:t>
      </w:r>
      <w:r>
        <w:rPr>
          <w:rFonts w:ascii="Times New Roman" w:hAnsi="Times New Roman"/>
          <w:u w:color="000000"/>
          <w:rtl w:val="0"/>
          <w:lang w:val="ru-RU"/>
        </w:rPr>
        <w:t>[4]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Первое из этих понятий пришло во французский от латинского 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genius. </w:t>
      </w:r>
      <w:r>
        <w:rPr>
          <w:rFonts w:ascii="Times New Roman" w:hAnsi="Times New Roman" w:hint="default"/>
          <w:u w:color="000000"/>
          <w:rtl w:val="0"/>
          <w:lang w:val="ru-RU"/>
        </w:rPr>
        <w:t>Второе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означающие категорию демонологических персонажей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было заимствовано позже при переводе сказок 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Галланом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 впоследствии обрело дополнительные варианты записи</w:t>
      </w:r>
      <w:r>
        <w:rPr>
          <w:rFonts w:ascii="Times New Roman" w:hAnsi="Times New Roman"/>
          <w:u w:color="000000"/>
          <w:rtl w:val="0"/>
          <w:lang w:val="ru-RU"/>
        </w:rPr>
        <w:t xml:space="preserve">: djinn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</w:t>
      </w:r>
      <w:r>
        <w:rPr>
          <w:rFonts w:ascii="Times New Roman" w:hAnsi="Times New Roman"/>
          <w:u w:color="000000"/>
          <w:rtl w:val="0"/>
          <w:lang w:val="ru-RU"/>
        </w:rPr>
        <w:t>jinn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Пихан подчеркивает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слово </w:t>
      </w:r>
      <w:r>
        <w:rPr>
          <w:rFonts w:ascii="Times Roman" w:hAnsi="Times Roman"/>
          <w:i w:val="1"/>
          <w:iCs w:val="1"/>
          <w:u w:color="000000"/>
          <w:rtl w:val="0"/>
          <w:lang w:val="ru-RU"/>
        </w:rPr>
        <w:t xml:space="preserve">genius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происходит от арабского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جــــن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записанного на латинский манер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арабской картине мира сумасшедший человек </w:t>
      </w:r>
      <w:r>
        <w:rPr>
          <w:rFonts w:ascii="Times New Roman" w:hAnsi="Times New Roman"/>
          <w:u w:color="000000"/>
          <w:rtl w:val="0"/>
          <w:lang w:val="ru-RU"/>
        </w:rPr>
        <w:t>(mad</w:t>
      </w:r>
      <w:r>
        <w:rPr>
          <w:rFonts w:ascii="Times New Roman" w:hAnsi="Times New Roman" w:hint="default"/>
          <w:u w:color="000000"/>
          <w:rtl w:val="0"/>
          <w:lang w:val="ru-RU"/>
        </w:rPr>
        <w:t>ž</w:t>
      </w:r>
      <w:r>
        <w:rPr>
          <w:rFonts w:ascii="Times New Roman" w:hAnsi="Times New Roman"/>
          <w:u w:color="000000"/>
          <w:rtl w:val="0"/>
          <w:lang w:val="ru-RU"/>
        </w:rPr>
        <w:t xml:space="preserve">nun) </w:t>
      </w:r>
      <w:r>
        <w:rPr>
          <w:rFonts w:ascii="Times New Roman" w:hAnsi="Times New Roman" w:hint="default"/>
          <w:u w:color="000000"/>
          <w:rtl w:val="0"/>
          <w:lang w:val="ru-RU"/>
        </w:rPr>
        <w:t>семантически и лексически связан с спиритическим и понимается как ‘тот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 кого сокрыт ум’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‘наделенный знанием’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европейской традиции подобной характеристикой обладает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>гений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Говоря о конкретных образах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можно вспомнить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например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культ Манат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который был распространен в Северной и Центральной Аравии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среди некоторых других семитских народов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Ей поклонялись племена гузаиль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хузаа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аус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хазрадж и жители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 xml:space="preserve">Йасриба 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Медина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 xml:space="preserve">В Вавилоне ее именовали </w:t>
      </w:r>
      <w:r>
        <w:rPr>
          <w:rFonts w:ascii="Times Roman" w:hAnsi="Times Roman" w:hint="default"/>
          <w:i w:val="1"/>
          <w:iCs w:val="1"/>
          <w:spacing w:val="0"/>
          <w:u w:color="000000"/>
          <w:rtl w:val="0"/>
          <w:lang w:val="ru-RU"/>
        </w:rPr>
        <w:t xml:space="preserve">Ма манату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pacing w:val="0"/>
          <w:u w:color="000000"/>
          <w:rtl w:val="0"/>
          <w:cs w:val="1"/>
          <w:lang w:val="ru-RU"/>
        </w:rPr>
        <w:t>مــــا</w:t>
      </w:r>
      <w:r>
        <w:rPr>
          <w:rFonts w:ascii="Times Roman" w:hAnsi="Times Roman"/>
          <w:spacing w:val="0"/>
          <w:u w:color="000000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pacing w:val="0"/>
          <w:u w:color="000000"/>
          <w:rtl w:val="0"/>
          <w:cs w:val="1"/>
          <w:lang w:val="ru-RU"/>
        </w:rPr>
        <w:t>مــــ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pacing w:val="0"/>
          <w:u w:color="000000"/>
          <w:rtl w:val="1"/>
          <w:lang w:val="ar-SA" w:bidi="ar-SA"/>
        </w:rPr>
        <w:t>نا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pacing w:val="0"/>
          <w:u w:color="000000"/>
          <w:rtl w:val="0"/>
          <w:cs w:val="1"/>
          <w:lang w:val="ru-RU"/>
        </w:rPr>
        <w:t>تــــو</w:t>
      </w:r>
      <w:r>
        <w:rPr>
          <w:rFonts w:ascii="Times Roman" w:hAnsi="Times Roman"/>
          <w:spacing w:val="0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‘та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 xml:space="preserve">что </w:t>
      </w:r>
      <w:r>
        <w:rPr>
          <w:rFonts w:ascii="Times New Roman" w:hAnsi="Times New Roman" w:hint="default"/>
          <w:u w:color="000000"/>
          <w:rtl w:val="0"/>
          <w:lang w:val="ru-RU"/>
        </w:rPr>
        <w:t>испытывает’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а иудеи –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 xml:space="preserve">Мавет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מוות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‘смерть’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что в арабском варианте звучит как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 xml:space="preserve">Моут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1"/>
          <w:lang w:val="ar-SA" w:bidi="ar-SA"/>
        </w:rPr>
        <w:t>موت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Набатее и Пальмире она имела имя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 xml:space="preserve">Манават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1"/>
          <w:lang w:val="ar-SA" w:bidi="ar-SA"/>
        </w:rPr>
        <w:t>منوات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или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 xml:space="preserve">Манавату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1"/>
          <w:lang w:val="ar-SA" w:bidi="ar-SA"/>
        </w:rPr>
        <w:t>مان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ــ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1"/>
          <w:lang w:val="ar-SA" w:bidi="ar-SA"/>
        </w:rPr>
        <w:t>ا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و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1"/>
          <w:lang w:val="ar-SA" w:bidi="ar-SA"/>
        </w:rPr>
        <w:t>تو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 отождествлялась с греческими богинями Тиха и Немезида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Ее имя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مــــ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1"/>
          <w:lang w:val="ar-SA" w:bidi="ar-SA"/>
        </w:rPr>
        <w:t>نا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ة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может происходить от арабского </w:t>
      </w:r>
      <w:r>
        <w:rPr>
          <w:rFonts w:ascii="Times Roman" w:hAnsi="Times Roman" w:hint="default"/>
          <w:i w:val="1"/>
          <w:iCs w:val="1"/>
          <w:u w:color="000000"/>
          <w:rtl w:val="0"/>
          <w:lang w:val="ru-RU"/>
        </w:rPr>
        <w:t xml:space="preserve">Манун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color="000000"/>
          <w:rtl w:val="0"/>
          <w:cs w:val="1"/>
          <w:lang w:val="ru-RU"/>
        </w:rPr>
        <w:t>مــنون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‘судьба’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‘рок’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‘смертный рок’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Все это подтверждает роль Манат в качестве богини судьбы и возмездия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 локально и повелительницы подземного царства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хранительницы погребений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Лингвокультурологический подход помог выявить взаимосвязи древнесемитских корней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например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имен Баал и Аллат</w:t>
      </w:r>
      <w:r>
        <w:rPr>
          <w:rFonts w:ascii="Times New Roman" w:hAnsi="Times New Roman"/>
          <w:u w:color="000000"/>
          <w:rtl w:val="0"/>
          <w:lang w:val="ru-RU"/>
        </w:rPr>
        <w:t xml:space="preserve">); </w:t>
      </w:r>
      <w:r>
        <w:rPr>
          <w:rFonts w:ascii="Times New Roman" w:hAnsi="Times New Roman" w:hint="default"/>
          <w:u w:color="000000"/>
          <w:rtl w:val="0"/>
          <w:lang w:val="ru-RU"/>
        </w:rPr>
        <w:t>пересечение образов греческой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шумерско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аккадской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угаритской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финикийской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иудейской традиций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например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Аллах – Илу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Эл</w:t>
      </w:r>
      <w:r>
        <w:rPr>
          <w:rFonts w:ascii="Times New Roman" w:hAnsi="Times New Roman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</w:rPr>
        <w:t>Баал – Мардук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Бэл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Вельзевул</w:t>
      </w:r>
      <w:r>
        <w:rPr>
          <w:rFonts w:ascii="Times New Roman" w:hAnsi="Times New Roman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</w:rPr>
        <w:t>Манат – Тиха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Немезида</w:t>
      </w:r>
      <w:r>
        <w:rPr>
          <w:rFonts w:ascii="Times New Roman" w:hAnsi="Times New Roman"/>
          <w:u w:color="000000"/>
          <w:rtl w:val="0"/>
          <w:lang w:val="ru-RU"/>
        </w:rPr>
        <w:t xml:space="preserve">);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определить функции божества по его имени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например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Манат – ‘та что испытывает’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‘рок’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Руда – ‘земная’</w:t>
      </w:r>
      <w:r>
        <w:rPr>
          <w:rFonts w:ascii="Times New Roman" w:hAnsi="Times New Roman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Лингвокультурологический анализ дает возможность учесть больше аспектов при реконструкции понятий и образов доисламской культуры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выявить их глубинное значение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Литература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pacing w:val="0"/>
          <w:u w:color="000000"/>
          <w:rtl w:val="0"/>
          <w:lang w:val="ru-RU"/>
        </w:rPr>
      </w:pP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Мухаммад бин Мукаррам ибн Манзур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Лисан аль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араб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 xml:space="preserve">в 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6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т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– Каир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Дар ал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маариф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 xml:space="preserve">5006 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с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https://avesta.tripod.com/pehlev/Friyan.htm (</w:t>
      </w:r>
      <w:r>
        <w:rPr>
          <w:rFonts w:ascii="Times New Roman" w:hAnsi="Times New Roman" w:hint="default"/>
          <w:u w:color="000000"/>
          <w:rtl w:val="0"/>
          <w:lang w:val="ru-RU"/>
        </w:rPr>
        <w:t>Повесть о Йойште Фрияне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Предисловие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перевод и комментарии А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> А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> Амбарцумяна</w:t>
      </w:r>
      <w:r>
        <w:rPr>
          <w:rFonts w:ascii="Times New Roman" w:hAnsi="Times New Roman"/>
          <w:u w:color="000000"/>
          <w:rtl w:val="0"/>
          <w:lang w:val="ru-RU"/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spacing w:val="0"/>
          <w:u w:color="000000"/>
          <w:rtl w:val="0"/>
          <w:lang w:val="ru-RU"/>
        </w:rPr>
      </w:pPr>
      <w:r>
        <w:rPr>
          <w:rFonts w:ascii="Times New Roman" w:hAnsi="Times New Roman"/>
          <w:spacing w:val="0"/>
          <w:u w:color="000000"/>
          <w:rtl w:val="0"/>
          <w:lang w:val="ru-RU"/>
        </w:rPr>
        <w:t>https://dehkhoda.ut.ac.ir/fa/dictionary/</w:t>
      </w:r>
      <w:r>
        <w:rPr>
          <w:rFonts w:ascii="Arial Unicode MS" w:cs="Times New Roman" w:hAnsi="Arial Unicode MS" w:eastAsia="Arial Unicode MS" w:hint="cs"/>
          <w:spacing w:val="0"/>
          <w:u w:color="000000"/>
          <w:rtl w:val="0"/>
          <w:cs w:val="1"/>
          <w:lang w:val="ru-RU"/>
        </w:rPr>
        <w:t xml:space="preserve">جن 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pacing w:val="0"/>
          <w:u w:color="000000"/>
          <w:rtl w:val="0"/>
          <w:lang w:val="ru-RU"/>
        </w:rPr>
        <w:t>Толковый словарь персидского языка Деххода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)</w:t>
      </w:r>
      <w:r>
        <w:rPr>
          <w:rFonts w:ascii="Times New Roman" w:hAnsi="Times New Roman"/>
          <w:spacing w:val="0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Pihan, A. P. Glossaire des mots franc</w:t>
      </w:r>
      <w:r>
        <w:rPr>
          <w:rFonts w:ascii="Times New Roman" w:hAnsi="Times New Roman" w:hint="default"/>
          <w:u w:color="000000"/>
          <w:rtl w:val="0"/>
          <w:lang w:val="ru-RU"/>
        </w:rPr>
        <w:t>̧</w:t>
      </w:r>
      <w:r>
        <w:rPr>
          <w:rFonts w:ascii="Times New Roman" w:hAnsi="Times New Roman"/>
          <w:u w:color="000000"/>
          <w:rtl w:val="0"/>
          <w:lang w:val="ru-RU"/>
        </w:rPr>
        <w:t>ais tire</w:t>
      </w:r>
      <w:r>
        <w:rPr>
          <w:rFonts w:ascii="Times New Roman" w:hAnsi="Times New Roman" w:hint="default"/>
          <w:u w:color="000000"/>
          <w:rtl w:val="0"/>
          <w:lang w:val="ru-RU"/>
        </w:rPr>
        <w:t>́</w:t>
      </w:r>
      <w:r>
        <w:rPr>
          <w:rFonts w:ascii="Times New Roman" w:hAnsi="Times New Roman"/>
          <w:u w:color="000000"/>
          <w:rtl w:val="0"/>
          <w:lang w:val="ru-RU"/>
        </w:rPr>
        <w:t>s de l'arabe, du persan et du turc / A. P. Pihan // Chez Benjamin Duprat / Libraire de l</w:t>
      </w:r>
      <w:r>
        <w:rPr>
          <w:rFonts w:ascii="Times New Roman" w:hAnsi="Times New Roman" w:hint="default"/>
          <w:u w:color="000000"/>
          <w:rtl w:val="0"/>
          <w:lang w:val="ru-RU"/>
        </w:rPr>
        <w:t>’</w:t>
      </w:r>
      <w:r>
        <w:rPr>
          <w:rFonts w:ascii="Times New Roman" w:hAnsi="Times New Roman"/>
          <w:u w:color="000000"/>
          <w:rtl w:val="0"/>
          <w:lang w:val="ru-RU"/>
        </w:rPr>
        <w:t>Institut de la Bibliothe</w:t>
      </w:r>
      <w:r>
        <w:rPr>
          <w:rFonts w:ascii="Times New Roman" w:hAnsi="Times New Roman" w:hint="default"/>
          <w:u w:color="000000"/>
          <w:rtl w:val="0"/>
          <w:lang w:val="ru-RU"/>
        </w:rPr>
        <w:t>̀</w:t>
      </w:r>
      <w:r>
        <w:rPr>
          <w:rFonts w:ascii="Times New Roman" w:hAnsi="Times New Roman"/>
          <w:u w:color="000000"/>
          <w:rtl w:val="0"/>
          <w:lang w:val="ru-RU"/>
        </w:rPr>
        <w:t>que royale et de la Socie</w:t>
      </w:r>
      <w:r>
        <w:rPr>
          <w:rFonts w:ascii="Times New Roman" w:hAnsi="Times New Roman" w:hint="default"/>
          <w:u w:color="000000"/>
          <w:rtl w:val="0"/>
          <w:lang w:val="ru-RU"/>
        </w:rPr>
        <w:t>́</w:t>
      </w:r>
      <w:r>
        <w:rPr>
          <w:rFonts w:ascii="Times New Roman" w:hAnsi="Times New Roman"/>
          <w:u w:color="000000"/>
          <w:rtl w:val="0"/>
          <w:lang w:val="ru-RU"/>
        </w:rPr>
        <w:t>te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́ </w:t>
      </w:r>
      <w:r>
        <w:rPr>
          <w:rFonts w:ascii="Times New Roman" w:hAnsi="Times New Roman"/>
          <w:u w:color="000000"/>
          <w:rtl w:val="0"/>
          <w:lang w:val="ru-RU"/>
        </w:rPr>
        <w:t xml:space="preserve">asiatique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u w:color="000000"/>
          <w:rtl w:val="0"/>
          <w:lang w:val="ru-RU"/>
        </w:rPr>
        <w:t xml:space="preserve">Paris, 1847.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u w:color="000000"/>
          <w:rtl w:val="0"/>
          <w:lang w:val="en-US"/>
        </w:rPr>
        <w:t>P</w:t>
      </w:r>
      <w:r>
        <w:rPr>
          <w:rFonts w:ascii="Times New Roman" w:hAnsi="Times New Roman"/>
          <w:u w:color="000000"/>
          <w:rtl w:val="0"/>
          <w:lang w:val="ru-RU"/>
        </w:rPr>
        <w:t>. 134</w:t>
      </w:r>
      <w:r>
        <w:rPr>
          <w:rFonts w:ascii="Times New Roman" w:hAnsi="Times New Roman" w:hint="default"/>
          <w:u w:color="000000"/>
          <w:rtl w:val="0"/>
          <w:lang w:val="ru-RU"/>
        </w:rPr>
        <w:t>–</w:t>
      </w:r>
      <w:r>
        <w:rPr>
          <w:rFonts w:ascii="Times New Roman" w:hAnsi="Times New Roman"/>
          <w:u w:color="000000"/>
          <w:rtl w:val="0"/>
          <w:lang w:val="ru-RU"/>
        </w:rPr>
        <w:t>135</w:t>
      </w:r>
      <w:r>
        <w:rPr>
          <w:rFonts w:ascii="Times New Roman" w:hAnsi="Times New Roman"/>
          <w:u w:color="000000"/>
          <w:rtl w:val="0"/>
          <w:lang w:val="en-US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592"/>
        <w:tab w:val="right" w:pos="9184"/>
        <w:tab w:val="clear" w:pos="9020"/>
      </w:tabs>
      <w:bidi w:val="0"/>
      <w:spacing w:after="200"/>
      <w:ind w:left="0" w:right="0" w:firstLine="0"/>
      <w:jc w:val="left"/>
      <w:rPr>
        <w:rtl w:val="0"/>
      </w:rPr>
    </w:pPr>
    <w:r>
      <w:rPr>
        <w:rFonts w:ascii="Times New Roman" w:hAnsi="Times New Roman" w:hint="default"/>
        <w:i w:val="1"/>
        <w:iCs w:val="1"/>
        <w:shd w:val="clear" w:color="auto" w:fill="ffffff"/>
        <w:rtl w:val="0"/>
      </w:rPr>
      <w:t>продолжение основного текста тезисов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