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Оценка возможности использования спектрального анализа почв в судебной экспертизе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Седых 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Студенка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курса бакалавриата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факультет почвоведения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n-US"/>
        </w:rPr>
        <w:t>–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 xml:space="preserve">mail: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  <w:instrText xml:space="preserve"> HYPERLINK "mailto:olya.sedykh.05@bk.ru"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olya.sedykh.05@bk.ru</w:t>
      </w:r>
      <w:r>
        <w:rPr>
          <w:lang w:val="en-US"/>
        </w:rPr>
        <w:fldChar w:fldCharType="end" w:fldLock="0"/>
      </w:r>
    </w:p>
    <w:p>
      <w:pPr>
        <w:pStyle w:val="Normal.0"/>
        <w:spacing w:after="0" w:line="240" w:lineRule="auto"/>
        <w:ind w:firstLine="397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сегодняшний день прогресс почвоведческих исследований обеспечивает новые подходы к решению практических задач судебной экспертизы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[3].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Высокую эффективность показывают исследования наслоений почвенного вещества на разнообразных объектах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носителях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[1].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Одними из перспективных направлений исследований почвенных образцов являются спектроскопические методы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позволяют максимально точно оценить окраску почвенных образцов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выявить отли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чия вещественного состава образцов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их фракций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[2].</w:t>
      </w:r>
    </w:p>
    <w:p>
      <w:pPr>
        <w:pStyle w:val="Normal.0"/>
        <w:spacing w:after="0" w:line="240" w:lineRule="auto"/>
        <w:ind w:firstLine="397"/>
        <w:jc w:val="both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 работы заключалась в оценке возможности определения групповой принадлежности почвенных образцов с помощью спектрального анализа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ходе работы была собрана коллекция зональных почв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проведения эксперимента из них выбраны четыре пахотные и две гидроморфные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собраны образцы почвенных наслоений с подошв ботинок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Гиперспектральная съемка проводилась с помощью камеры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Specim (Specim, Spectral Imaging Ltd.,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Финляндия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Результаты представлены на рисунке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Квадратом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кругом и прямоугольником выделены диагностические участки спектров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g">
            <w:drawing xmlns:a="http://schemas.openxmlformats.org/drawingml/2006/main">
              <wp:inline distT="0" distB="0" distL="0" distR="0">
                <wp:extent cx="5828030" cy="2222303"/>
                <wp:effectExtent l="0" t="0" r="0" b="0"/>
                <wp:docPr id="1073741832" name="officeArt object" descr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030" cy="2222303"/>
                          <a:chOff x="0" y="0"/>
                          <a:chExt cx="5828029" cy="2222302"/>
                        </a:xfrm>
                      </wpg:grpSpPr>
                      <pic:pic xmlns:pic="http://schemas.openxmlformats.org/drawingml/2006/picture">
                        <pic:nvPicPr>
                          <pic:cNvPr id="1073741825" name="Picture 2" descr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5828031" cy="218334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TextBox 4"/>
                        <wps:cNvSpPr txBox="1"/>
                        <wps:spPr>
                          <a:xfrm>
                            <a:off x="1003837" y="994925"/>
                            <a:ext cx="94245" cy="134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</w:pPr>
                              <w:r>
                                <w:rPr>
                                  <w:rFonts w:ascii="Times New Roman" w:hAnsi="Times New Roman" w:hint="default"/>
                                  <w:sz w:val="24"/>
                                  <w:szCs w:val="24"/>
                                  <w:rtl w:val="0"/>
                                  <w:lang w:val="ru-RU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27" name="TextBox 5"/>
                        <wps:cNvSpPr txBox="1"/>
                        <wps:spPr>
                          <a:xfrm>
                            <a:off x="2914674" y="989072"/>
                            <a:ext cx="94244" cy="134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</w:pPr>
                              <w:r>
                                <w:rPr>
                                  <w:rFonts w:ascii="Times New Roman" w:hAnsi="Times New Roman" w:hint="default"/>
                                  <w:sz w:val="24"/>
                                  <w:szCs w:val="24"/>
                                  <w:rtl w:val="0"/>
                                  <w:lang w:val="ru-RU"/>
                                </w:rPr>
                                <w:t>б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28" name="TextBox 6"/>
                        <wps:cNvSpPr txBox="1"/>
                        <wps:spPr>
                          <a:xfrm>
                            <a:off x="4873281" y="989072"/>
                            <a:ext cx="94245" cy="134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</w:pPr>
                              <w:r>
                                <w:rPr>
                                  <w:rFonts w:ascii="Times New Roman" w:hAnsi="Times New Roman" w:hint="default"/>
                                  <w:sz w:val="24"/>
                                  <w:szCs w:val="24"/>
                                  <w:rtl w:val="0"/>
                                  <w:lang w:val="ru-RU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29" name="TextBox 7"/>
                        <wps:cNvSpPr txBox="1"/>
                        <wps:spPr>
                          <a:xfrm>
                            <a:off x="1003837" y="2087803"/>
                            <a:ext cx="94245" cy="134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</w:pPr>
                              <w:r>
                                <w:rPr>
                                  <w:rFonts w:ascii="Times New Roman" w:hAnsi="Times New Roman" w:hint="default"/>
                                  <w:sz w:val="24"/>
                                  <w:szCs w:val="24"/>
                                  <w:rtl w:val="0"/>
                                  <w:lang w:val="ru-RU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30" name="TextBox 8"/>
                        <wps:cNvSpPr txBox="1"/>
                        <wps:spPr>
                          <a:xfrm>
                            <a:off x="2962445" y="2087803"/>
                            <a:ext cx="94244" cy="134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</w:pPr>
                              <w:r>
                                <w:rPr>
                                  <w:rFonts w:ascii="Times New Roman" w:hAnsi="Times New Roman" w:hint="default"/>
                                  <w:sz w:val="24"/>
                                  <w:szCs w:val="24"/>
                                  <w:rtl w:val="0"/>
                                  <w:lang w:val="ru-RU"/>
                                </w:rPr>
                                <w:t>д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1073741831" name="TextBox 9"/>
                        <wps:cNvSpPr txBox="1"/>
                        <wps:spPr>
                          <a:xfrm>
                            <a:off x="4873281" y="2087803"/>
                            <a:ext cx="94245" cy="1345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aption"/>
                              </w:pPr>
                              <w:r>
                                <w:rPr>
                                  <w:rFonts w:ascii="Times New Roman" w:hAnsi="Times New Roman" w:hint="default"/>
                                  <w:sz w:val="24"/>
                                  <w:szCs w:val="24"/>
                                  <w:rtl w:val="0"/>
                                  <w:lang w:val="ru-RU"/>
                                </w:rPr>
                                <w:t>е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458.9pt;height:175.0pt;" coordorigin="0,0" coordsize="5828030,2222302">
                <v:shape id="_x0000_s1027" type="#_x0000_t75" style="position:absolute;left:0;top:0;width:5828030;height:2183345;">
                  <v:imagedata r:id="rId4" o:title="image1.png"/>
                </v:shape>
                <v:shape id="_x0000_s1028" type="#_x0000_t202" style="position:absolute;left:1003838;top:994925;width:94244;height:13449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</w:pPr>
                        <w:r>
                          <w:rPr>
                            <w:rFonts w:ascii="Times New Roman" w:hAnsi="Times New Roman" w:hint="default"/>
                            <w:sz w:val="24"/>
                            <w:szCs w:val="24"/>
                            <w:rtl w:val="0"/>
                            <w:lang w:val="ru-RU"/>
                          </w:rPr>
                          <w:t>а</w:t>
                        </w:r>
                      </w:p>
                    </w:txbxContent>
                  </v:textbox>
                </v:shape>
                <v:shape id="_x0000_s1029" type="#_x0000_t202" style="position:absolute;left:2914674;top:989072;width:94244;height:13449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</w:pPr>
                        <w:r>
                          <w:rPr>
                            <w:rFonts w:ascii="Times New Roman" w:hAnsi="Times New Roman" w:hint="default"/>
                            <w:sz w:val="24"/>
                            <w:szCs w:val="24"/>
                            <w:rtl w:val="0"/>
                            <w:lang w:val="ru-RU"/>
                          </w:rPr>
                          <w:t>б</w:t>
                        </w:r>
                      </w:p>
                    </w:txbxContent>
                  </v:textbox>
                </v:shape>
                <v:shape id="_x0000_s1030" type="#_x0000_t202" style="position:absolute;left:4873282;top:989072;width:94244;height:13449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</w:pPr>
                        <w:r>
                          <w:rPr>
                            <w:rFonts w:ascii="Times New Roman" w:hAnsi="Times New Roman" w:hint="default"/>
                            <w:sz w:val="24"/>
                            <w:szCs w:val="24"/>
                            <w:rtl w:val="0"/>
                            <w:lang w:val="ru-RU"/>
                          </w:rPr>
                          <w:t>в</w:t>
                        </w:r>
                      </w:p>
                    </w:txbxContent>
                  </v:textbox>
                </v:shape>
                <v:shape id="_x0000_s1031" type="#_x0000_t202" style="position:absolute;left:1003838;top:2087803;width:94244;height:13449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</w:pPr>
                        <w:r>
                          <w:rPr>
                            <w:rFonts w:ascii="Times New Roman" w:hAnsi="Times New Roman" w:hint="default"/>
                            <w:sz w:val="24"/>
                            <w:szCs w:val="24"/>
                            <w:rtl w:val="0"/>
                            <w:lang w:val="ru-RU"/>
                          </w:rPr>
                          <w:t>г</w:t>
                        </w:r>
                      </w:p>
                    </w:txbxContent>
                  </v:textbox>
                </v:shape>
                <v:shape id="_x0000_s1032" type="#_x0000_t202" style="position:absolute;left:2962445;top:2087803;width:94244;height:13449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</w:pPr>
                        <w:r>
                          <w:rPr>
                            <w:rFonts w:ascii="Times New Roman" w:hAnsi="Times New Roman" w:hint="default"/>
                            <w:sz w:val="24"/>
                            <w:szCs w:val="24"/>
                            <w:rtl w:val="0"/>
                            <w:lang w:val="ru-RU"/>
                          </w:rPr>
                          <w:t>д</w:t>
                        </w:r>
                      </w:p>
                    </w:txbxContent>
                  </v:textbox>
                </v:shape>
                <v:shape id="_x0000_s1033" type="#_x0000_t202" style="position:absolute;left:4873282;top:2087803;width:94244;height:13449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aption"/>
                        </w:pPr>
                        <w:r>
                          <w:rPr>
                            <w:rFonts w:ascii="Times New Roman" w:hAnsi="Times New Roman" w:hint="default"/>
                            <w:sz w:val="24"/>
                            <w:szCs w:val="24"/>
                            <w:rtl w:val="0"/>
                            <w:lang w:val="ru-RU"/>
                          </w:rPr>
                          <w:t>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Спектры почвенных образцов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фракция менее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0,25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агрозем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 –агроабразем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аллювиальная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чернозем выщелоченный освоенный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 – каштановая освоенная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– солодь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Проведенное исследование показало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метод гиперспектрального анализа выявляет различия между разными типами почв и может быть использован в судебно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почвенной экспертизе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Литература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Нестерина 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Градусова 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Ищенко 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Бокша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.,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«Решение следственных задач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стоящих перед сотрудниками ФСКН России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помощью экспертного исследования объектов почвенно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растительного происхождения»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>, 2010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2.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Савин И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Ю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Шишкин М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Шарычев Д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Особенности спектральной отражательной способности фракций образцов почв размером от 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 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5 000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мкм 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//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Бюллетень Почвенного института имени В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Докучаева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2022.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Вып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112.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val="none"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4"/>
          <w:szCs w:val="24"/>
          <w:u w:val="none" w:color="000000"/>
          <w:rtl w:val="0"/>
          <w:lang w:val="en-US"/>
          <w14:textFill>
            <w14:solidFill>
              <w14:srgbClr w14:val="000000"/>
            </w14:solidFill>
          </w14:textFill>
        </w:rPr>
        <w:t>. 24-47.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ru-RU"/>
        </w:rPr>
        <w:t>3.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Sangwan, P., Nain, T.,Singal, K., Hoodaa, N., Sharma, N.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«</w:t>
      </w:r>
      <w:r>
        <w:rPr>
          <w:rFonts w:ascii="Times New Roman" w:hAnsi="Times New Roman"/>
          <w:sz w:val="24"/>
          <w:szCs w:val="24"/>
          <w:rtl w:val="0"/>
          <w:lang w:val="en-US"/>
        </w:rPr>
        <w:t>Soil as a tool of revelation in forensic science: a review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Analitical Methods, </w: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lang w:val="en-US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lang w:val="en-US"/>
        </w:rPr>
        <w:instrText xml:space="preserve"> HYPERLINK "https://pubs.rsc.org/en/journals/journal/ay?issueid=ay012043&amp;type=current&amp;issnprint=1759-9660"</w:instrText>
      </w:r>
      <w:r>
        <w:rPr>
          <w:rStyle w:val="Hyperlink.1"/>
          <w:rFonts w:ascii="Times New Roman" w:cs="Times New Roman" w:hAnsi="Times New Roman" w:eastAsia="Times New Roman"/>
          <w:sz w:val="24"/>
          <w:szCs w:val="24"/>
          <w:lang w:val="en-US"/>
        </w:rPr>
        <w:fldChar w:fldCharType="separate" w:fldLock="0"/>
      </w:r>
      <w:r>
        <w:rPr>
          <w:rStyle w:val="Hyperlink.1"/>
          <w:rFonts w:ascii="Times New Roman" w:hAnsi="Times New Roman"/>
          <w:sz w:val="24"/>
          <w:szCs w:val="24"/>
          <w:rtl w:val="0"/>
          <w:lang w:val="en-US"/>
        </w:rPr>
        <w:t>Issue 43, 2020</w:t>
      </w:r>
      <w:r>
        <w:rPr>
          <w:lang w:val="en-US"/>
        </w:rPr>
        <w:fldChar w:fldCharType="end" w:fldLock="0"/>
      </w:r>
    </w:p>
    <w:sectPr>
      <w:headerReference w:type="default" r:id="rId5"/>
      <w:footerReference w:type="default" r:id="rId6"/>
      <w:pgSz w:w="11900" w:h="16840" w:orient="portrait"/>
      <w:pgMar w:top="1134" w:right="1361" w:bottom="1134" w:left="1361" w:header="113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i w:val="1"/>
      <w:iCs w:val="1"/>
      <w:sz w:val="24"/>
      <w:szCs w:val="24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sz w:val="24"/>
      <w:szCs w:val="24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