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18" w:rsidRDefault="00145D18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Фемтосекундная динамика возбуждённых состояний комплексов </w:t>
      </w:r>
      <w:r w:rsidRPr="00DC2FDD">
        <w:rPr>
          <w:b/>
          <w:color w:val="000000"/>
        </w:rPr>
        <w:t>бис(аза</w:t>
      </w:r>
      <w:r w:rsidRPr="00DC2FDD">
        <w:rPr>
          <w:b/>
          <w:color w:val="000000"/>
        </w:rPr>
        <w:noBreakHyphen/>
        <w:t>18</w:t>
      </w:r>
      <w:r w:rsidRPr="00DC2FDD">
        <w:rPr>
          <w:b/>
          <w:color w:val="000000"/>
        </w:rPr>
        <w:noBreakHyphen/>
        <w:t>краун</w:t>
      </w:r>
      <w:r w:rsidRPr="00DC2FDD">
        <w:rPr>
          <w:b/>
          <w:color w:val="000000"/>
        </w:rPr>
        <w:noBreakHyphen/>
        <w:t>6)</w:t>
      </w:r>
      <w:r>
        <w:rPr>
          <w:b/>
          <w:color w:val="000000"/>
        </w:rPr>
        <w:t>содержащего диенона ряда циклогексанона с катионами щелочных и щелочноземельных металлов.</w:t>
      </w:r>
    </w:p>
    <w:p w:rsidR="00145D18" w:rsidRDefault="00145D18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Алаторцев О.А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Волчков В.В.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Химич М.Н.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Мельников М.Я.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Фомина М.В.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</w:p>
    <w:p w:rsidR="00145D18" w:rsidRDefault="00145D18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Громов С.П.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.</w:t>
      </w:r>
    </w:p>
    <w:p w:rsidR="00145D18" w:rsidRDefault="00145D18">
      <w:pPr>
        <w:shd w:val="clear" w:color="auto" w:fill="FFFFFF"/>
        <w:jc w:val="center"/>
        <w:rPr>
          <w:color w:val="000000"/>
        </w:rPr>
      </w:pPr>
      <w:r w:rsidRPr="00162777">
        <w:rPr>
          <w:i/>
          <w:color w:val="000000"/>
        </w:rPr>
        <w:t>Аспирант, 1 года обучения</w:t>
      </w:r>
      <w:r>
        <w:rPr>
          <w:i/>
          <w:color w:val="000000"/>
        </w:rPr>
        <w:t xml:space="preserve"> </w:t>
      </w:r>
    </w:p>
    <w:p w:rsidR="00145D18" w:rsidRDefault="00145D1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:rsidR="00145D18" w:rsidRDefault="00145D18">
      <w:pPr>
        <w:shd w:val="clear" w:color="auto" w:fill="FFFFFF"/>
        <w:jc w:val="center"/>
        <w:rPr>
          <w:i/>
          <w:color w:val="000000"/>
        </w:rPr>
      </w:pPr>
      <w:r>
        <w:rPr>
          <w:i/>
          <w:iCs/>
          <w:vertAlign w:val="superscript"/>
        </w:rPr>
        <w:t>2</w:t>
      </w:r>
      <w:r>
        <w:rPr>
          <w:i/>
          <w:iCs/>
        </w:rPr>
        <w:t>НИЦ “Курчатовский институт”, Курчатовский комплекс “Кристаллография и фотоника”, Центр фотохимии, Москва, Россия</w:t>
      </w:r>
    </w:p>
    <w:p w:rsidR="00145D18" w:rsidRDefault="00145D1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alatorcevoleg</w:t>
      </w:r>
      <w:r>
        <w:rPr>
          <w:i/>
          <w:color w:val="000000"/>
          <w:u w:val="single"/>
        </w:rPr>
        <w:t>3@</w:t>
      </w:r>
      <w:r>
        <w:rPr>
          <w:i/>
          <w:color w:val="000000"/>
          <w:u w:val="single"/>
          <w:lang w:val="en-US"/>
        </w:rPr>
        <w:t>gmail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:rsidR="00145D18" w:rsidRPr="00DC2FDD" w:rsidRDefault="00145D18" w:rsidP="00162777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Анализ спектров стационарного поглощения, флуоресценции (при 293 и 77 </w:t>
      </w:r>
      <w:r>
        <w:rPr>
          <w:color w:val="000000"/>
          <w:lang w:val="en-US"/>
        </w:rPr>
        <w:t>K</w:t>
      </w:r>
      <w:r>
        <w:rPr>
          <w:color w:val="000000"/>
        </w:rPr>
        <w:t xml:space="preserve">), спектров возбуждения флуоресценции, время разрешенного </w:t>
      </w:r>
      <w:r w:rsidRPr="00162777">
        <w:rPr>
          <w:color w:val="000000"/>
          <w:lang w:val="en-US"/>
        </w:rPr>
        <w:t>S</w:t>
      </w:r>
      <w:r w:rsidRPr="00162777">
        <w:rPr>
          <w:color w:val="000000"/>
          <w:vertAlign w:val="subscript"/>
        </w:rPr>
        <w:t>1</w:t>
      </w:r>
      <w:r w:rsidRPr="00162777">
        <w:rPr>
          <w:color w:val="000000"/>
        </w:rPr>
        <w:t>-</w:t>
      </w:r>
      <w:r w:rsidRPr="00162777">
        <w:rPr>
          <w:color w:val="000000"/>
          <w:lang w:val="en-US"/>
        </w:rPr>
        <w:t>S</w:t>
      </w:r>
      <w:r w:rsidRPr="00162777">
        <w:rPr>
          <w:color w:val="000000"/>
          <w:vertAlign w:val="subscript"/>
          <w:lang w:val="en-US"/>
        </w:rPr>
        <w:t>n</w:t>
      </w:r>
      <w:r w:rsidRPr="009D73EB">
        <w:rPr>
          <w:color w:val="000000"/>
        </w:rPr>
        <w:t xml:space="preserve"> </w:t>
      </w:r>
      <w:r>
        <w:rPr>
          <w:color w:val="000000"/>
        </w:rPr>
        <w:t>поглощения в диапазоне 0-500 пс</w:t>
      </w:r>
      <w:r w:rsidRPr="00162777">
        <w:rPr>
          <w:color w:val="000000"/>
        </w:rPr>
        <w:t xml:space="preserve"> указывает на</w:t>
      </w:r>
      <w:r>
        <w:rPr>
          <w:color w:val="000000"/>
        </w:rPr>
        <w:t xml:space="preserve"> протекание фоторекоординации в комплексах </w:t>
      </w:r>
      <w:r>
        <w:rPr>
          <w:b/>
          <w:bCs/>
          <w:color w:val="000000"/>
          <w:lang w:val="en-US"/>
        </w:rPr>
        <w:t>CD</w:t>
      </w:r>
      <w:r>
        <w:rPr>
          <w:b/>
          <w:bCs/>
          <w:color w:val="000000"/>
        </w:rPr>
        <w:t>6</w:t>
      </w:r>
      <w:r>
        <w:rPr>
          <w:b/>
        </w:rPr>
        <w:t>·</w:t>
      </w:r>
      <w:r>
        <w:rPr>
          <w:color w:val="000000"/>
        </w:rPr>
        <w:t>(</w:t>
      </w:r>
      <w:r>
        <w:rPr>
          <w:color w:val="000000"/>
          <w:lang w:val="en-US"/>
        </w:rPr>
        <w:t>M</w:t>
      </w:r>
      <w:r>
        <w:rPr>
          <w:color w:val="000000"/>
          <w:vertAlign w:val="superscript"/>
          <w:lang w:val="en-US"/>
        </w:rPr>
        <w:t>n</w:t>
      </w:r>
      <w:r>
        <w:rPr>
          <w:color w:val="000000"/>
          <w:vertAlign w:val="superscript"/>
        </w:rPr>
        <w:t>+</w:t>
      </w:r>
      <w:r>
        <w:rPr>
          <w:color w:val="000000"/>
        </w:rPr>
        <w:t>)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>(</w:t>
      </w:r>
      <w:r>
        <w:rPr>
          <w:color w:val="000000"/>
          <w:lang w:val="en-US"/>
        </w:rPr>
        <w:t>M</w:t>
      </w:r>
      <w:r>
        <w:rPr>
          <w:color w:val="000000"/>
          <w:vertAlign w:val="superscript"/>
          <w:lang w:val="en-US"/>
        </w:rPr>
        <w:t>n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= </w:t>
      </w:r>
      <w:r w:rsidRPr="00DC2FDD">
        <w:rPr>
          <w:color w:val="000000"/>
          <w:lang w:val="en-US"/>
        </w:rPr>
        <w:t>B</w:t>
      </w:r>
      <w:r>
        <w:rPr>
          <w:color w:val="000000"/>
          <w:lang w:val="en-US"/>
        </w:rPr>
        <w:t>a</w:t>
      </w:r>
      <w:r>
        <w:rPr>
          <w:color w:val="000000"/>
          <w:vertAlign w:val="superscript"/>
        </w:rPr>
        <w:t>2+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Sr</w:t>
      </w:r>
      <w:r>
        <w:rPr>
          <w:color w:val="000000"/>
          <w:vertAlign w:val="superscript"/>
        </w:rPr>
        <w:t>2+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Ca</w:t>
      </w:r>
      <w:r>
        <w:rPr>
          <w:color w:val="000000"/>
          <w:vertAlign w:val="superscript"/>
        </w:rPr>
        <w:t>2+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K</w:t>
      </w:r>
      <w:r>
        <w:rPr>
          <w:color w:val="000000"/>
          <w:vertAlign w:val="superscript"/>
        </w:rPr>
        <w:t>+</w:t>
      </w:r>
      <w:r>
        <w:rPr>
          <w:color w:val="000000"/>
        </w:rPr>
        <w:t>) [1].</w:t>
      </w:r>
      <w:r w:rsidRPr="00162777">
        <w:rPr>
          <w:color w:val="000000"/>
        </w:rPr>
        <w:t xml:space="preserve"> </w:t>
      </w:r>
      <w:r>
        <w:rPr>
          <w:color w:val="000000"/>
        </w:rPr>
        <w:t xml:space="preserve">Фоторекоординация протекает в диапазоне сотен фс. </w:t>
      </w:r>
      <w:r w:rsidRPr="00162777">
        <w:rPr>
          <w:color w:val="000000"/>
        </w:rPr>
        <w:t>Согласно квантово-химическим расчетам в ходе фоторекоординации</w:t>
      </w:r>
      <w:r>
        <w:rPr>
          <w:color w:val="000000"/>
        </w:rPr>
        <w:t xml:space="preserve"> </w:t>
      </w:r>
      <w:r w:rsidRPr="00DC2FDD">
        <w:rPr>
          <w:color w:val="000000"/>
        </w:rPr>
        <w:t xml:space="preserve">изменяется сольватная оболочка комплекса, «аксиальная» конформация переходит в «экваториальную». Найдена корреляция между характеристическими временами фоторекоординации и константами устойчивости комплексов типа </w:t>
      </w:r>
      <w:r w:rsidRPr="00DC2FDD">
        <w:rPr>
          <w:b/>
          <w:bCs/>
          <w:color w:val="000000"/>
          <w:lang w:val="en-US"/>
        </w:rPr>
        <w:t>CD</w:t>
      </w:r>
      <w:r w:rsidRPr="00DC2FDD">
        <w:rPr>
          <w:b/>
          <w:bCs/>
          <w:color w:val="000000"/>
        </w:rPr>
        <w:t>6</w:t>
      </w:r>
      <w:r w:rsidRPr="00DC2FDD">
        <w:rPr>
          <w:b/>
        </w:rPr>
        <w:t>·</w:t>
      </w:r>
      <w:r w:rsidRPr="00DC2FDD">
        <w:rPr>
          <w:color w:val="000000"/>
        </w:rPr>
        <w:t>(</w:t>
      </w:r>
      <w:r w:rsidRPr="00DC2FDD">
        <w:rPr>
          <w:color w:val="000000"/>
          <w:lang w:val="en-US"/>
        </w:rPr>
        <w:t>M</w:t>
      </w:r>
      <w:r w:rsidRPr="00DC2FDD">
        <w:rPr>
          <w:color w:val="000000"/>
          <w:vertAlign w:val="superscript"/>
          <w:lang w:val="en-US"/>
        </w:rPr>
        <w:t>n</w:t>
      </w:r>
      <w:r w:rsidRPr="00DC2FDD">
        <w:rPr>
          <w:color w:val="000000"/>
          <w:vertAlign w:val="superscript"/>
        </w:rPr>
        <w:t>+</w:t>
      </w:r>
      <w:r w:rsidRPr="00DC2FDD">
        <w:rPr>
          <w:color w:val="000000"/>
        </w:rPr>
        <w:t>)</w:t>
      </w:r>
      <w:r w:rsidRPr="00DC2FDD">
        <w:rPr>
          <w:color w:val="000000"/>
          <w:vertAlign w:val="subscript"/>
        </w:rPr>
        <w:t>2</w:t>
      </w:r>
      <w:r w:rsidRPr="00DC2FDD">
        <w:rPr>
          <w:color w:val="000000"/>
        </w:rPr>
        <w:t xml:space="preserve">. Финальная стадия фоторекоординации – фотоэжеция катионов </w:t>
      </w:r>
      <w:r w:rsidRPr="00DC2FDD">
        <w:rPr>
          <w:color w:val="000000"/>
          <w:lang w:val="en-US"/>
        </w:rPr>
        <w:t>M</w:t>
      </w:r>
      <w:r w:rsidRPr="00DC2FDD">
        <w:rPr>
          <w:color w:val="000000"/>
          <w:vertAlign w:val="superscript"/>
          <w:lang w:val="en-US"/>
        </w:rPr>
        <w:t>n</w:t>
      </w:r>
      <w:r w:rsidRPr="00DC2FDD">
        <w:rPr>
          <w:color w:val="000000"/>
          <w:vertAlign w:val="superscript"/>
        </w:rPr>
        <w:t xml:space="preserve">+ </w:t>
      </w:r>
      <w:r w:rsidRPr="00DC2FDD">
        <w:rPr>
          <w:color w:val="000000"/>
        </w:rPr>
        <w:t xml:space="preserve">в раствор не достигается, о чем свидетельствуют различные времена жизни флуоресценции </w:t>
      </w:r>
      <w:r w:rsidRPr="00DC2FDD">
        <w:rPr>
          <w:b/>
          <w:color w:val="000000"/>
          <w:lang w:val="en-US"/>
        </w:rPr>
        <w:t>CD</w:t>
      </w:r>
      <w:r w:rsidRPr="00DC2FDD">
        <w:rPr>
          <w:b/>
          <w:color w:val="000000"/>
        </w:rPr>
        <w:t>6</w:t>
      </w:r>
      <w:r w:rsidRPr="00DC2FDD">
        <w:rPr>
          <w:color w:val="000000"/>
        </w:rPr>
        <w:t xml:space="preserve"> и </w:t>
      </w:r>
      <w:r w:rsidRPr="00DC2FDD">
        <w:rPr>
          <w:b/>
          <w:bCs/>
          <w:color w:val="000000"/>
          <w:lang w:val="en-US"/>
        </w:rPr>
        <w:t>CD</w:t>
      </w:r>
      <w:r w:rsidRPr="00DC2FDD">
        <w:rPr>
          <w:b/>
          <w:bCs/>
          <w:color w:val="000000"/>
        </w:rPr>
        <w:t>6·</w:t>
      </w:r>
      <w:r w:rsidRPr="00DC2FDD">
        <w:rPr>
          <w:color w:val="000000"/>
        </w:rPr>
        <w:t>(</w:t>
      </w:r>
      <w:r w:rsidRPr="00DC2FDD">
        <w:rPr>
          <w:color w:val="000000"/>
          <w:lang w:val="en-US"/>
        </w:rPr>
        <w:t>M</w:t>
      </w:r>
      <w:r w:rsidRPr="00DC2FDD">
        <w:rPr>
          <w:color w:val="000000"/>
          <w:vertAlign w:val="superscript"/>
          <w:lang w:val="en-US"/>
        </w:rPr>
        <w:t>n</w:t>
      </w:r>
      <w:r w:rsidRPr="00DC2FDD">
        <w:rPr>
          <w:color w:val="000000"/>
          <w:vertAlign w:val="superscript"/>
        </w:rPr>
        <w:t>+</w:t>
      </w:r>
      <w:r w:rsidRPr="00DC2FDD">
        <w:rPr>
          <w:color w:val="000000"/>
        </w:rPr>
        <w:t>)</w:t>
      </w:r>
      <w:r w:rsidRPr="00DC2FDD">
        <w:rPr>
          <w:color w:val="000000"/>
          <w:vertAlign w:val="subscript"/>
        </w:rPr>
        <w:t>2</w:t>
      </w:r>
      <w:r w:rsidRPr="00DC2FDD">
        <w:rPr>
          <w:color w:val="000000"/>
        </w:rPr>
        <w:t xml:space="preserve">. В низкотемпературном стекле бутиронитрила процесс ингибируется. Для комплексов </w:t>
      </w:r>
      <w:r w:rsidRPr="00DC2FDD">
        <w:rPr>
          <w:color w:val="000000"/>
          <w:lang w:val="en-US"/>
        </w:rPr>
        <w:t>M</w:t>
      </w:r>
      <w:r w:rsidRPr="00DC2FDD">
        <w:rPr>
          <w:color w:val="000000"/>
          <w:vertAlign w:val="superscript"/>
          <w:lang w:val="en-US"/>
        </w:rPr>
        <w:t>n</w:t>
      </w:r>
      <w:r w:rsidRPr="00DC2FDD">
        <w:rPr>
          <w:color w:val="000000"/>
          <w:vertAlign w:val="superscript"/>
        </w:rPr>
        <w:t>+</w:t>
      </w:r>
      <w:r w:rsidRPr="00DC2FDD">
        <w:rPr>
          <w:b/>
          <w:bCs/>
          <w:color w:val="000000"/>
        </w:rPr>
        <w:t>·</w:t>
      </w:r>
      <w:r w:rsidRPr="00DC2FDD">
        <w:rPr>
          <w:b/>
          <w:bCs/>
          <w:color w:val="000000"/>
          <w:lang w:val="en-US"/>
        </w:rPr>
        <w:t>CD</w:t>
      </w:r>
      <w:r w:rsidRPr="00DC2FDD">
        <w:rPr>
          <w:b/>
          <w:bCs/>
          <w:color w:val="000000"/>
        </w:rPr>
        <w:t>6·</w:t>
      </w:r>
      <w:r w:rsidRPr="00DC2FDD">
        <w:rPr>
          <w:color w:val="000000"/>
        </w:rPr>
        <w:t>(</w:t>
      </w:r>
      <w:r w:rsidRPr="00DC2FDD">
        <w:rPr>
          <w:color w:val="000000"/>
          <w:lang w:val="en-US"/>
        </w:rPr>
        <w:t>M</w:t>
      </w:r>
      <w:r w:rsidRPr="00DC2FDD">
        <w:rPr>
          <w:color w:val="000000"/>
          <w:vertAlign w:val="superscript"/>
          <w:lang w:val="en-US"/>
        </w:rPr>
        <w:t>n</w:t>
      </w:r>
      <w:r w:rsidRPr="00DC2FDD">
        <w:rPr>
          <w:color w:val="000000"/>
          <w:vertAlign w:val="superscript"/>
        </w:rPr>
        <w:t>+</w:t>
      </w:r>
      <w:r w:rsidRPr="00DC2FDD">
        <w:rPr>
          <w:color w:val="000000"/>
        </w:rPr>
        <w:t>)</w:t>
      </w:r>
      <w:r w:rsidRPr="00DC2FDD">
        <w:rPr>
          <w:color w:val="000000"/>
          <w:vertAlign w:val="subscript"/>
        </w:rPr>
        <w:t>2</w:t>
      </w:r>
      <w:r w:rsidRPr="00DC2FDD">
        <w:rPr>
          <w:color w:val="000000"/>
        </w:rPr>
        <w:t xml:space="preserve"> (</w:t>
      </w:r>
      <w:r w:rsidRPr="00DC2FDD">
        <w:rPr>
          <w:color w:val="000000"/>
          <w:lang w:val="en-US"/>
        </w:rPr>
        <w:t>M</w:t>
      </w:r>
      <w:r w:rsidRPr="00DC2FDD">
        <w:rPr>
          <w:color w:val="000000"/>
          <w:vertAlign w:val="superscript"/>
          <w:lang w:val="en-US"/>
        </w:rPr>
        <w:t>n</w:t>
      </w:r>
      <w:r w:rsidRPr="00DC2FDD">
        <w:rPr>
          <w:color w:val="000000"/>
          <w:vertAlign w:val="superscript"/>
        </w:rPr>
        <w:t>+</w:t>
      </w:r>
      <w:r w:rsidRPr="00DC2FDD">
        <w:rPr>
          <w:color w:val="000000"/>
        </w:rPr>
        <w:t xml:space="preserve"> = </w:t>
      </w:r>
      <w:r w:rsidRPr="00DC2FDD">
        <w:rPr>
          <w:color w:val="000000"/>
          <w:lang w:val="en-US"/>
        </w:rPr>
        <w:t>Na</w:t>
      </w:r>
      <w:r w:rsidRPr="00DC2FDD">
        <w:rPr>
          <w:color w:val="000000"/>
          <w:vertAlign w:val="superscript"/>
        </w:rPr>
        <w:t>+</w:t>
      </w:r>
      <w:r w:rsidRPr="00DC2FDD">
        <w:rPr>
          <w:color w:val="000000"/>
        </w:rPr>
        <w:t xml:space="preserve">, </w:t>
      </w:r>
      <w:r w:rsidRPr="00DC2FDD">
        <w:rPr>
          <w:color w:val="000000"/>
          <w:lang w:val="en-US"/>
        </w:rPr>
        <w:t>Li</w:t>
      </w:r>
      <w:r w:rsidRPr="00DC2FDD">
        <w:rPr>
          <w:color w:val="000000"/>
          <w:vertAlign w:val="superscript"/>
        </w:rPr>
        <w:t>+</w:t>
      </w:r>
      <w:r w:rsidRPr="00DC2FDD">
        <w:rPr>
          <w:color w:val="000000"/>
        </w:rPr>
        <w:t xml:space="preserve">, </w:t>
      </w:r>
      <w:r w:rsidRPr="00DC2FDD">
        <w:rPr>
          <w:color w:val="000000"/>
          <w:lang w:val="en-US"/>
        </w:rPr>
        <w:t>Mg</w:t>
      </w:r>
      <w:r w:rsidRPr="00DC2FDD">
        <w:rPr>
          <w:color w:val="000000"/>
          <w:vertAlign w:val="superscript"/>
        </w:rPr>
        <w:t>2+</w:t>
      </w:r>
      <w:r w:rsidRPr="00DC2FDD">
        <w:rPr>
          <w:color w:val="000000"/>
        </w:rPr>
        <w:t xml:space="preserve">) найдена зависимость положения полосы стимулированной эмиссии (SE) и времени её жизни от поверхностной плотности заряда катиона. Рассчитанные конформационные кривые в основном и возбужденном состояниях свидетельствуют о барьерном характере процесса. </w:t>
      </w:r>
    </w:p>
    <w:p w:rsidR="00145D18" w:rsidRPr="00DC2FDD" w:rsidRDefault="00145D18">
      <w:pPr>
        <w:shd w:val="clear" w:color="auto" w:fill="FFFFFF"/>
        <w:ind w:firstLine="397"/>
        <w:jc w:val="both"/>
        <w:rPr>
          <w:color w:val="000000"/>
        </w:rPr>
      </w:pPr>
      <w:r w:rsidRPr="00DC2FDD">
        <w:rPr>
          <w:color w:val="000000"/>
        </w:rPr>
        <w:t xml:space="preserve">Таблица 1. Стационарные и время разрешенные спектральные характеристики </w:t>
      </w:r>
      <w:r w:rsidRPr="00DC2FDD">
        <w:rPr>
          <w:b/>
          <w:color w:val="000000"/>
        </w:rPr>
        <w:t>С</w:t>
      </w:r>
      <w:r w:rsidRPr="00DC2FDD">
        <w:rPr>
          <w:b/>
          <w:color w:val="000000"/>
          <w:lang w:val="en-US"/>
        </w:rPr>
        <w:t>D</w:t>
      </w:r>
      <w:r w:rsidRPr="00DC2FDD">
        <w:rPr>
          <w:b/>
          <w:color w:val="000000"/>
        </w:rPr>
        <w:t>6</w:t>
      </w:r>
      <w:r w:rsidRPr="00DC2FDD">
        <w:rPr>
          <w:color w:val="000000"/>
        </w:rPr>
        <w:t xml:space="preserve"> и </w:t>
      </w:r>
      <w:r w:rsidRPr="00DC2FDD">
        <w:rPr>
          <w:b/>
          <w:bCs/>
          <w:color w:val="000000"/>
          <w:lang w:val="en-US"/>
        </w:rPr>
        <w:t>CD</w:t>
      </w:r>
      <w:r w:rsidRPr="00DC2FDD">
        <w:rPr>
          <w:b/>
          <w:bCs/>
          <w:color w:val="000000"/>
        </w:rPr>
        <w:t>6·</w:t>
      </w:r>
      <w:r w:rsidRPr="00DC2FDD">
        <w:rPr>
          <w:color w:val="000000"/>
        </w:rPr>
        <w:t>(</w:t>
      </w:r>
      <w:r w:rsidRPr="00DC2FDD">
        <w:rPr>
          <w:color w:val="000000"/>
          <w:lang w:val="en-US"/>
        </w:rPr>
        <w:t>M</w:t>
      </w:r>
      <w:r w:rsidRPr="00DC2FDD">
        <w:rPr>
          <w:color w:val="000000"/>
          <w:vertAlign w:val="superscript"/>
          <w:lang w:val="en-US"/>
        </w:rPr>
        <w:t>n</w:t>
      </w:r>
      <w:r w:rsidRPr="00DC2FDD">
        <w:rPr>
          <w:color w:val="000000"/>
          <w:vertAlign w:val="superscript"/>
        </w:rPr>
        <w:t>+</w:t>
      </w:r>
      <w:r w:rsidRPr="00DC2FDD">
        <w:rPr>
          <w:color w:val="000000"/>
        </w:rPr>
        <w:t>)</w:t>
      </w:r>
      <w:r w:rsidRPr="00DC2FDD">
        <w:rPr>
          <w:color w:val="000000"/>
          <w:vertAlign w:val="subscript"/>
        </w:rPr>
        <w:t>2</w:t>
      </w:r>
      <w:r w:rsidRPr="00DC2FDD">
        <w:rPr>
          <w:color w:val="000000"/>
        </w:rPr>
        <w:t xml:space="preserve"> в </w:t>
      </w:r>
      <w:r w:rsidRPr="00DC2FDD">
        <w:rPr>
          <w:color w:val="000000"/>
          <w:lang w:val="en-US"/>
        </w:rPr>
        <w:t>MeCN</w:t>
      </w:r>
      <w:r w:rsidRPr="00DC2FDD">
        <w:rPr>
          <w:color w:val="000000"/>
        </w:rPr>
        <w:t>.</w:t>
      </w: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78"/>
        <w:gridCol w:w="1301"/>
        <w:gridCol w:w="1080"/>
        <w:gridCol w:w="958"/>
        <w:gridCol w:w="821"/>
        <w:gridCol w:w="1260"/>
      </w:tblGrid>
      <w:tr w:rsidR="00145D18" w:rsidRPr="00DC2FDD" w:rsidTr="00CE1C5A">
        <w:trPr>
          <w:trHeight w:val="269"/>
          <w:jc w:val="center"/>
        </w:trPr>
        <w:tc>
          <w:tcPr>
            <w:tcW w:w="2878" w:type="dxa"/>
          </w:tcPr>
          <w:p w:rsidR="00145D18" w:rsidRPr="00DC2FDD" w:rsidRDefault="00145D18" w:rsidP="00CE1C5A">
            <w:pPr>
              <w:jc w:val="center"/>
              <w:rPr>
                <w:kern w:val="2"/>
                <w:lang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Соединение</w:t>
            </w:r>
          </w:p>
        </w:tc>
        <w:tc>
          <w:tcPr>
            <w:tcW w:w="1301" w:type="dxa"/>
          </w:tcPr>
          <w:p w:rsidR="00145D18" w:rsidRPr="00DC2FDD" w:rsidRDefault="007D2CD5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sz w:val="22"/>
                <w:szCs w:val="22"/>
                <w:lang w:val="en-US"/>
              </w:rPr>
              <w:fldChar w:fldCharType="begin"/>
            </w:r>
            <w:r w:rsidR="00145D18" w:rsidRPr="00DC2FDD">
              <w:rPr>
                <w:sz w:val="22"/>
                <w:szCs w:val="22"/>
                <w:lang w:val="en-US"/>
              </w:rPr>
              <w:instrText xml:space="preserve"> QUOTE </w:instrText>
            </w:r>
            <m:oMath>
              <m:r>
                <w:rPr>
                  <w:rFonts w:ascii="Cambria Math"/>
                  <w:sz w:val="22"/>
                  <w:szCs w:val="22"/>
                  <w:lang w:eastAsia="en-US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sub>
                <m:sup>
                  <m:r>
                    <w:rPr>
                      <w:rFonts w:ascii="Cambria Math"/>
                      <w:sz w:val="22"/>
                      <w:szCs w:val="22"/>
                    </w:rPr>
                    <m:t>1:2</m:t>
                  </m:r>
                </m:sup>
              </m:sSubSup>
              <m:r>
                <w:rPr>
                  <w:rFonts w:ascii="Cambria Math"/>
                  <w:sz w:val="22"/>
                  <w:szCs w:val="22"/>
                </w:rPr>
                <m:t>,</m:t>
              </m:r>
            </m:oMath>
            <w:r w:rsidR="00145D18" w:rsidRPr="00DC2FDD">
              <w:rPr>
                <w:sz w:val="22"/>
                <w:szCs w:val="22"/>
                <w:lang w:val="en-US"/>
              </w:rPr>
              <w:instrText xml:space="preserve"> </w:instrText>
            </w:r>
            <w:r w:rsidRPr="00DC2FDD">
              <w:rPr>
                <w:sz w:val="22"/>
                <w:szCs w:val="22"/>
                <w:lang w:val="en-US"/>
              </w:rPr>
              <w:fldChar w:fldCharType="separate"/>
            </w:r>
            <w:r w:rsidR="00145D18" w:rsidRPr="00DC2FDD">
              <w:rPr>
                <w:sz w:val="20"/>
                <w:szCs w:val="20"/>
                <w:lang w:val="en-US"/>
              </w:rPr>
              <w:t>Δλ</w:t>
            </w:r>
            <w:r w:rsidR="00145D18" w:rsidRPr="00DC2FDD">
              <w:rPr>
                <w:sz w:val="20"/>
                <w:szCs w:val="20"/>
                <w:vertAlign w:val="subscript"/>
                <w:lang w:val="en-US"/>
              </w:rPr>
              <w:t>a</w:t>
            </w:r>
            <w:r w:rsidR="00145D18" w:rsidRPr="00DC2FDD">
              <w:rPr>
                <w:sz w:val="20"/>
                <w:szCs w:val="20"/>
                <w:vertAlign w:val="superscript"/>
              </w:rPr>
              <w:t>1:2</w:t>
            </w:r>
            <w:r w:rsidR="00145D18" w:rsidRPr="00DC2FDD">
              <w:rPr>
                <w:sz w:val="20"/>
                <w:szCs w:val="20"/>
              </w:rPr>
              <w:t>,</w:t>
            </w:r>
            <w:r w:rsidRPr="00DC2FDD">
              <w:rPr>
                <w:sz w:val="22"/>
                <w:szCs w:val="22"/>
                <w:lang w:val="en-US"/>
              </w:rPr>
              <w:fldChar w:fldCharType="end"/>
            </w:r>
            <w:r w:rsidR="00145D18" w:rsidRPr="00DC2FDD">
              <w:rPr>
                <w:sz w:val="22"/>
                <w:szCs w:val="22"/>
                <w:lang w:val="en-US" w:eastAsia="en-US"/>
              </w:rPr>
              <w:t xml:space="preserve"> </w:t>
            </w:r>
            <w:r w:rsidR="00145D18" w:rsidRPr="00DC2FDD">
              <w:rPr>
                <w:kern w:val="2"/>
                <w:sz w:val="22"/>
                <w:szCs w:val="22"/>
                <w:lang w:eastAsia="en-US"/>
              </w:rPr>
              <w:t>нм</w:t>
            </w:r>
          </w:p>
        </w:tc>
        <w:tc>
          <w:tcPr>
            <w:tcW w:w="1080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sz w:val="20"/>
                <w:szCs w:val="20"/>
                <w:lang w:val="en-US"/>
              </w:rPr>
              <w:t>Δλ</w:t>
            </w:r>
            <w:r w:rsidRPr="00DC2FDD">
              <w:rPr>
                <w:sz w:val="20"/>
                <w:szCs w:val="20"/>
                <w:vertAlign w:val="subscript"/>
                <w:lang w:val="en-US"/>
              </w:rPr>
              <w:t>fl</w:t>
            </w:r>
            <w:r w:rsidRPr="00DC2FDD">
              <w:rPr>
                <w:sz w:val="20"/>
                <w:szCs w:val="20"/>
                <w:vertAlign w:val="superscript"/>
              </w:rPr>
              <w:t>1:2</w:t>
            </w:r>
            <w:r w:rsidRPr="00DC2FDD">
              <w:rPr>
                <w:sz w:val="20"/>
                <w:szCs w:val="20"/>
              </w:rPr>
              <w:t xml:space="preserve">, </w:t>
            </w:r>
            <w:r w:rsidRPr="00DC2FDD">
              <w:rPr>
                <w:kern w:val="2"/>
                <w:sz w:val="22"/>
                <w:szCs w:val="22"/>
                <w:lang w:eastAsia="en-US"/>
              </w:rPr>
              <w:t>нм</w:t>
            </w:r>
          </w:p>
        </w:tc>
        <w:tc>
          <w:tcPr>
            <w:tcW w:w="958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lg</w:t>
            </w:r>
            <w:r w:rsidRPr="00DC2FDD">
              <w:rPr>
                <w:i/>
                <w:iCs/>
                <w:kern w:val="2"/>
                <w:sz w:val="22"/>
                <w:szCs w:val="22"/>
                <w:lang w:val="en-US" w:eastAsia="en-US"/>
              </w:rPr>
              <w:t>K</w:t>
            </w:r>
            <w:r w:rsidRPr="00DC2FDD">
              <w:rPr>
                <w:kern w:val="2"/>
                <w:sz w:val="22"/>
                <w:szCs w:val="22"/>
                <w:vertAlign w:val="subscript"/>
                <w:lang w:val="en-US" w:eastAsia="en-US"/>
              </w:rPr>
              <w:t>s</w:t>
            </w:r>
            <w:r w:rsidRPr="00DC2FDD">
              <w:rPr>
                <w:kern w:val="2"/>
                <w:sz w:val="22"/>
                <w:szCs w:val="22"/>
                <w:vertAlign w:val="superscript"/>
                <w:lang w:val="en-US" w:eastAsia="en-US"/>
              </w:rPr>
              <w:t>1:2</w:t>
            </w:r>
          </w:p>
        </w:tc>
        <w:tc>
          <w:tcPr>
            <w:tcW w:w="821" w:type="dxa"/>
          </w:tcPr>
          <w:p w:rsidR="00145D18" w:rsidRPr="00DC2FDD" w:rsidRDefault="00DC2FDD" w:rsidP="00CE1C5A">
            <w:pPr>
              <w:jc w:val="center"/>
              <w:rPr>
                <w:lang w:val="en-US" w:eastAsia="en-US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eastAsia="en-US"/>
                </w:rPr>
                <m:t>τ</m:t>
              </m:r>
              <m:r>
                <w:rPr>
                  <w:rFonts w:ascii="Cambria Math"/>
                  <w:sz w:val="22"/>
                  <w:szCs w:val="22"/>
                </w:rPr>
                <m:t>,</m:t>
              </m:r>
            </m:oMath>
            <w:r w:rsidR="00145D18" w:rsidRPr="00DC2FDD">
              <w:rPr>
                <w:sz w:val="22"/>
                <w:szCs w:val="22"/>
                <w:lang w:val="en-US" w:eastAsia="en-US"/>
              </w:rPr>
              <w:t xml:space="preserve"> </w:t>
            </w:r>
            <w:r w:rsidR="00145D18" w:rsidRPr="00DC2FDD">
              <w:rPr>
                <w:sz w:val="22"/>
                <w:szCs w:val="22"/>
                <w:lang w:eastAsia="en-US"/>
              </w:rPr>
              <w:t>фс</w:t>
            </w:r>
          </w:p>
        </w:tc>
        <w:tc>
          <w:tcPr>
            <w:tcW w:w="1260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л</w:t>
            </w:r>
            <w:r w:rsidRPr="00DC2FDD">
              <w:rPr>
                <w:kern w:val="2"/>
                <w:sz w:val="22"/>
                <w:szCs w:val="22"/>
                <w:vertAlign w:val="subscript"/>
                <w:lang w:val="en-US" w:eastAsia="en-US"/>
              </w:rPr>
              <w:t>TA</w:t>
            </w:r>
            <w:r w:rsidRPr="00DC2FDD">
              <w:rPr>
                <w:kern w:val="2"/>
                <w:sz w:val="22"/>
                <w:szCs w:val="22"/>
                <w:vertAlign w:val="superscript"/>
                <w:lang w:val="en-US" w:eastAsia="en-US"/>
              </w:rPr>
              <w:t>max</w:t>
            </w:r>
            <w:r w:rsidRPr="00DC2FDD">
              <w:rPr>
                <w:kern w:val="2"/>
                <w:sz w:val="22"/>
                <w:szCs w:val="22"/>
                <w:lang w:val="en-US" w:eastAsia="en-US"/>
              </w:rPr>
              <w:t>,</w:t>
            </w:r>
            <w:r w:rsidRPr="00DC2FDD">
              <w:rPr>
                <w:sz w:val="22"/>
                <w:szCs w:val="22"/>
                <w:lang w:val="en-US" w:eastAsia="en-US"/>
              </w:rPr>
              <w:t xml:space="preserve"> </w:t>
            </w:r>
            <w:r w:rsidRPr="00DC2FDD">
              <w:rPr>
                <w:sz w:val="22"/>
                <w:szCs w:val="22"/>
                <w:lang w:eastAsia="en-US"/>
              </w:rPr>
              <w:t>нм</w:t>
            </w:r>
          </w:p>
        </w:tc>
      </w:tr>
      <w:tr w:rsidR="00145D18" w:rsidRPr="00DC2FDD" w:rsidTr="00CE1C5A">
        <w:trPr>
          <w:jc w:val="center"/>
        </w:trPr>
        <w:tc>
          <w:tcPr>
            <w:tcW w:w="2878" w:type="dxa"/>
          </w:tcPr>
          <w:p w:rsidR="00145D18" w:rsidRPr="00DC2FDD" w:rsidRDefault="00145D18" w:rsidP="00CE1C5A">
            <w:pPr>
              <w:jc w:val="center"/>
              <w:rPr>
                <w:b/>
                <w:bCs/>
                <w:lang w:val="en-US" w:eastAsia="en-US"/>
              </w:rPr>
            </w:pPr>
            <w:r w:rsidRPr="00DC2FDD">
              <w:rPr>
                <w:b/>
                <w:bCs/>
                <w:kern w:val="2"/>
                <w:sz w:val="22"/>
                <w:szCs w:val="22"/>
                <w:lang w:val="en-US" w:eastAsia="en-US"/>
              </w:rPr>
              <w:t>CD6</w:t>
            </w:r>
          </w:p>
        </w:tc>
        <w:tc>
          <w:tcPr>
            <w:tcW w:w="1301" w:type="dxa"/>
          </w:tcPr>
          <w:p w:rsidR="00145D18" w:rsidRPr="00DC2FDD" w:rsidRDefault="00145D18" w:rsidP="00CE1C5A">
            <w:pPr>
              <w:jc w:val="center"/>
              <w:rPr>
                <w:kern w:val="2"/>
                <w:lang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80" w:type="dxa"/>
          </w:tcPr>
          <w:p w:rsidR="00145D18" w:rsidRPr="00DC2FDD" w:rsidRDefault="00145D18" w:rsidP="00CE1C5A">
            <w:pPr>
              <w:jc w:val="center"/>
              <w:rPr>
                <w:kern w:val="2"/>
                <w:lang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8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821" w:type="dxa"/>
          </w:tcPr>
          <w:p w:rsidR="00145D18" w:rsidRPr="00DC2FDD" w:rsidRDefault="00145D18" w:rsidP="00CE1C5A">
            <w:pPr>
              <w:jc w:val="center"/>
              <w:rPr>
                <w:kern w:val="2"/>
                <w:lang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500</w:t>
            </w:r>
          </w:p>
        </w:tc>
      </w:tr>
      <w:tr w:rsidR="00145D18" w:rsidRPr="00DC2FDD" w:rsidTr="00CE1C5A">
        <w:trPr>
          <w:jc w:val="center"/>
        </w:trPr>
        <w:tc>
          <w:tcPr>
            <w:tcW w:w="2878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b/>
                <w:bCs/>
                <w:kern w:val="2"/>
                <w:sz w:val="22"/>
                <w:szCs w:val="22"/>
                <w:lang w:val="en-US" w:eastAsia="en-US"/>
              </w:rPr>
              <w:t>CD6</w:t>
            </w:r>
            <w:r w:rsidRPr="00DC2FDD">
              <w:rPr>
                <w:b/>
                <w:kern w:val="2"/>
                <w:sz w:val="22"/>
                <w:szCs w:val="22"/>
                <w:lang w:eastAsia="en-US"/>
              </w:rPr>
              <w:t>·</w:t>
            </w:r>
            <w:r w:rsidRPr="00DC2FDD">
              <w:rPr>
                <w:kern w:val="2"/>
                <w:sz w:val="22"/>
                <w:szCs w:val="22"/>
                <w:lang w:val="en-US" w:eastAsia="en-US"/>
              </w:rPr>
              <w:t>(Ba</w:t>
            </w:r>
            <w:r w:rsidRPr="00DC2FDD">
              <w:rPr>
                <w:kern w:val="2"/>
                <w:sz w:val="22"/>
                <w:szCs w:val="22"/>
                <w:vertAlign w:val="superscript"/>
                <w:lang w:val="en-US" w:eastAsia="en-US"/>
              </w:rPr>
              <w:t>2+</w:t>
            </w:r>
            <w:r w:rsidRPr="00DC2FDD">
              <w:rPr>
                <w:kern w:val="2"/>
                <w:sz w:val="22"/>
                <w:szCs w:val="22"/>
                <w:lang w:val="en-US" w:eastAsia="en-US"/>
              </w:rPr>
              <w:t>)</w:t>
            </w:r>
            <w:r w:rsidRPr="00DC2FDD">
              <w:rPr>
                <w:kern w:val="2"/>
                <w:sz w:val="22"/>
                <w:szCs w:val="22"/>
                <w:vertAlign w:val="subscript"/>
                <w:lang w:val="en-US" w:eastAsia="en-US"/>
              </w:rPr>
              <w:t>2</w:t>
            </w:r>
          </w:p>
        </w:tc>
        <w:tc>
          <w:tcPr>
            <w:tcW w:w="1301" w:type="dxa"/>
          </w:tcPr>
          <w:p w:rsidR="00145D18" w:rsidRPr="00DC2FDD" w:rsidRDefault="00145D18" w:rsidP="00CE1C5A">
            <w:pPr>
              <w:jc w:val="center"/>
              <w:rPr>
                <w:kern w:val="2"/>
                <w:lang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080" w:type="dxa"/>
          </w:tcPr>
          <w:p w:rsidR="00145D18" w:rsidRPr="00DC2FDD" w:rsidRDefault="00145D18" w:rsidP="00CE1C5A">
            <w:pPr>
              <w:jc w:val="center"/>
              <w:rPr>
                <w:kern w:val="2"/>
                <w:lang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-41</w:t>
            </w:r>
          </w:p>
        </w:tc>
        <w:tc>
          <w:tcPr>
            <w:tcW w:w="958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5.57</w:t>
            </w:r>
          </w:p>
        </w:tc>
        <w:tc>
          <w:tcPr>
            <w:tcW w:w="821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934</w:t>
            </w:r>
          </w:p>
        </w:tc>
        <w:tc>
          <w:tcPr>
            <w:tcW w:w="1260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417, 500</w:t>
            </w:r>
          </w:p>
        </w:tc>
      </w:tr>
      <w:tr w:rsidR="00145D18" w:rsidRPr="00DC2FDD" w:rsidTr="00CE1C5A">
        <w:trPr>
          <w:jc w:val="center"/>
        </w:trPr>
        <w:tc>
          <w:tcPr>
            <w:tcW w:w="2878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b/>
                <w:bCs/>
                <w:kern w:val="2"/>
                <w:sz w:val="22"/>
                <w:szCs w:val="22"/>
                <w:lang w:val="en-US" w:eastAsia="en-US"/>
              </w:rPr>
              <w:t>CD6</w:t>
            </w:r>
            <w:r w:rsidRPr="00DC2FDD">
              <w:rPr>
                <w:b/>
                <w:kern w:val="2"/>
                <w:sz w:val="22"/>
                <w:szCs w:val="22"/>
                <w:lang w:eastAsia="en-US"/>
              </w:rPr>
              <w:t>·</w:t>
            </w:r>
            <w:r w:rsidRPr="00DC2FDD">
              <w:rPr>
                <w:kern w:val="2"/>
                <w:sz w:val="22"/>
                <w:szCs w:val="22"/>
                <w:lang w:val="en-US" w:eastAsia="en-US"/>
              </w:rPr>
              <w:t>(Sr</w:t>
            </w:r>
            <w:r w:rsidRPr="00DC2FDD">
              <w:rPr>
                <w:kern w:val="2"/>
                <w:sz w:val="22"/>
                <w:szCs w:val="22"/>
                <w:vertAlign w:val="superscript"/>
                <w:lang w:val="en-US" w:eastAsia="en-US"/>
              </w:rPr>
              <w:t>2+</w:t>
            </w:r>
            <w:r w:rsidRPr="00DC2FDD">
              <w:rPr>
                <w:kern w:val="2"/>
                <w:sz w:val="22"/>
                <w:szCs w:val="22"/>
                <w:lang w:val="en-US" w:eastAsia="en-US"/>
              </w:rPr>
              <w:t>)</w:t>
            </w:r>
            <w:r w:rsidRPr="00DC2FDD">
              <w:rPr>
                <w:kern w:val="2"/>
                <w:sz w:val="22"/>
                <w:szCs w:val="22"/>
                <w:vertAlign w:val="subscript"/>
                <w:lang w:val="en-US" w:eastAsia="en-US"/>
              </w:rPr>
              <w:t>2</w:t>
            </w:r>
          </w:p>
        </w:tc>
        <w:tc>
          <w:tcPr>
            <w:tcW w:w="1301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1080" w:type="dxa"/>
          </w:tcPr>
          <w:p w:rsidR="00145D18" w:rsidRPr="00DC2FDD" w:rsidRDefault="00145D18" w:rsidP="00CE1C5A">
            <w:pPr>
              <w:jc w:val="center"/>
              <w:rPr>
                <w:kern w:val="2"/>
                <w:lang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-39</w:t>
            </w:r>
          </w:p>
        </w:tc>
        <w:tc>
          <w:tcPr>
            <w:tcW w:w="958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5.29</w:t>
            </w:r>
          </w:p>
        </w:tc>
        <w:tc>
          <w:tcPr>
            <w:tcW w:w="821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875</w:t>
            </w:r>
          </w:p>
        </w:tc>
        <w:tc>
          <w:tcPr>
            <w:tcW w:w="1260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416, 500</w:t>
            </w:r>
          </w:p>
        </w:tc>
      </w:tr>
      <w:tr w:rsidR="00145D18" w:rsidRPr="00DC2FDD" w:rsidTr="00CE1C5A">
        <w:trPr>
          <w:jc w:val="center"/>
        </w:trPr>
        <w:tc>
          <w:tcPr>
            <w:tcW w:w="2878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b/>
                <w:bCs/>
                <w:kern w:val="2"/>
                <w:sz w:val="22"/>
                <w:szCs w:val="22"/>
                <w:lang w:val="en-US" w:eastAsia="en-US"/>
              </w:rPr>
              <w:t>CD6</w:t>
            </w:r>
            <w:r w:rsidRPr="00DC2FDD">
              <w:rPr>
                <w:b/>
                <w:kern w:val="2"/>
                <w:sz w:val="22"/>
                <w:szCs w:val="22"/>
                <w:lang w:eastAsia="en-US"/>
              </w:rPr>
              <w:t>·</w:t>
            </w:r>
            <w:r w:rsidRPr="00DC2FDD">
              <w:rPr>
                <w:kern w:val="2"/>
                <w:sz w:val="22"/>
                <w:szCs w:val="22"/>
                <w:lang w:val="en-US" w:eastAsia="en-US"/>
              </w:rPr>
              <w:t>(Ca</w:t>
            </w:r>
            <w:r w:rsidRPr="00DC2FDD">
              <w:rPr>
                <w:kern w:val="2"/>
                <w:sz w:val="22"/>
                <w:szCs w:val="22"/>
                <w:vertAlign w:val="superscript"/>
                <w:lang w:val="en-US" w:eastAsia="en-US"/>
              </w:rPr>
              <w:t>2+</w:t>
            </w:r>
            <w:r w:rsidRPr="00DC2FDD">
              <w:rPr>
                <w:kern w:val="2"/>
                <w:sz w:val="22"/>
                <w:szCs w:val="22"/>
                <w:lang w:val="en-US" w:eastAsia="en-US"/>
              </w:rPr>
              <w:t>)</w:t>
            </w:r>
            <w:r w:rsidRPr="00DC2FDD">
              <w:rPr>
                <w:kern w:val="2"/>
                <w:sz w:val="22"/>
                <w:szCs w:val="22"/>
                <w:vertAlign w:val="subscript"/>
                <w:lang w:val="en-US" w:eastAsia="en-US"/>
              </w:rPr>
              <w:t>2</w:t>
            </w:r>
          </w:p>
        </w:tc>
        <w:tc>
          <w:tcPr>
            <w:tcW w:w="1301" w:type="dxa"/>
          </w:tcPr>
          <w:p w:rsidR="00145D18" w:rsidRPr="00DC2FDD" w:rsidRDefault="00145D18" w:rsidP="00CE1C5A">
            <w:pPr>
              <w:jc w:val="center"/>
              <w:rPr>
                <w:kern w:val="2"/>
                <w:lang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080" w:type="dxa"/>
          </w:tcPr>
          <w:p w:rsidR="00145D18" w:rsidRPr="00DC2FDD" w:rsidRDefault="00145D18" w:rsidP="00CE1C5A">
            <w:pPr>
              <w:jc w:val="center"/>
              <w:rPr>
                <w:kern w:val="2"/>
                <w:lang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-13</w:t>
            </w:r>
          </w:p>
        </w:tc>
        <w:tc>
          <w:tcPr>
            <w:tcW w:w="958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4.21</w:t>
            </w:r>
          </w:p>
        </w:tc>
        <w:tc>
          <w:tcPr>
            <w:tcW w:w="821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443</w:t>
            </w:r>
          </w:p>
        </w:tc>
        <w:tc>
          <w:tcPr>
            <w:tcW w:w="1260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4</w:t>
            </w:r>
            <w:r w:rsidRPr="00DC2FDD">
              <w:rPr>
                <w:kern w:val="2"/>
                <w:sz w:val="22"/>
                <w:szCs w:val="22"/>
                <w:lang w:val="en-US" w:eastAsia="en-US"/>
              </w:rPr>
              <w:t>50, 500</w:t>
            </w:r>
          </w:p>
        </w:tc>
      </w:tr>
      <w:tr w:rsidR="00145D18" w:rsidTr="00CE1C5A">
        <w:trPr>
          <w:jc w:val="center"/>
        </w:trPr>
        <w:tc>
          <w:tcPr>
            <w:tcW w:w="2878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b/>
                <w:bCs/>
                <w:kern w:val="2"/>
                <w:sz w:val="22"/>
                <w:szCs w:val="22"/>
                <w:lang w:val="en-US" w:eastAsia="en-US"/>
              </w:rPr>
              <w:t>CD6</w:t>
            </w:r>
            <w:r w:rsidRPr="00DC2FDD">
              <w:rPr>
                <w:b/>
                <w:kern w:val="2"/>
                <w:sz w:val="22"/>
                <w:szCs w:val="22"/>
                <w:lang w:eastAsia="en-US"/>
              </w:rPr>
              <w:t>·</w:t>
            </w:r>
            <w:r w:rsidRPr="00DC2FDD">
              <w:rPr>
                <w:kern w:val="2"/>
                <w:sz w:val="22"/>
                <w:szCs w:val="22"/>
                <w:lang w:val="en-US" w:eastAsia="en-US"/>
              </w:rPr>
              <w:t>(K</w:t>
            </w:r>
            <w:r w:rsidRPr="00DC2FDD">
              <w:rPr>
                <w:kern w:val="2"/>
                <w:sz w:val="22"/>
                <w:szCs w:val="22"/>
                <w:vertAlign w:val="superscript"/>
                <w:lang w:val="en-US" w:eastAsia="en-US"/>
              </w:rPr>
              <w:t>+</w:t>
            </w:r>
            <w:r w:rsidRPr="00DC2FDD">
              <w:rPr>
                <w:kern w:val="2"/>
                <w:sz w:val="22"/>
                <w:szCs w:val="22"/>
                <w:lang w:val="en-US" w:eastAsia="en-US"/>
              </w:rPr>
              <w:t>)</w:t>
            </w:r>
            <w:r w:rsidRPr="00DC2FDD">
              <w:rPr>
                <w:kern w:val="2"/>
                <w:sz w:val="22"/>
                <w:szCs w:val="22"/>
                <w:vertAlign w:val="subscript"/>
                <w:lang w:val="en-US" w:eastAsia="en-US"/>
              </w:rPr>
              <w:t>2</w:t>
            </w:r>
          </w:p>
        </w:tc>
        <w:tc>
          <w:tcPr>
            <w:tcW w:w="1301" w:type="dxa"/>
          </w:tcPr>
          <w:p w:rsidR="00145D18" w:rsidRPr="00DC2FDD" w:rsidRDefault="00145D18" w:rsidP="00CE1C5A">
            <w:pPr>
              <w:jc w:val="center"/>
              <w:rPr>
                <w:kern w:val="2"/>
                <w:lang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</w:tcPr>
          <w:p w:rsidR="00145D18" w:rsidRPr="00DC2FDD" w:rsidRDefault="00145D18" w:rsidP="00CE1C5A">
            <w:pPr>
              <w:jc w:val="center"/>
              <w:rPr>
                <w:kern w:val="2"/>
                <w:lang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-17</w:t>
            </w:r>
          </w:p>
        </w:tc>
        <w:tc>
          <w:tcPr>
            <w:tcW w:w="958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2.72</w:t>
            </w:r>
          </w:p>
        </w:tc>
        <w:tc>
          <w:tcPr>
            <w:tcW w:w="821" w:type="dxa"/>
          </w:tcPr>
          <w:p w:rsidR="00145D18" w:rsidRPr="00DC2FDD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val="en-US" w:eastAsia="en-US"/>
              </w:rPr>
              <w:t>181</w:t>
            </w:r>
          </w:p>
        </w:tc>
        <w:tc>
          <w:tcPr>
            <w:tcW w:w="1260" w:type="dxa"/>
          </w:tcPr>
          <w:p w:rsidR="00145D18" w:rsidRPr="00CE1C5A" w:rsidRDefault="00145D18" w:rsidP="00CE1C5A">
            <w:pPr>
              <w:jc w:val="center"/>
              <w:rPr>
                <w:lang w:val="en-US" w:eastAsia="en-US"/>
              </w:rPr>
            </w:pPr>
            <w:r w:rsidRPr="00DC2FDD">
              <w:rPr>
                <w:kern w:val="2"/>
                <w:sz w:val="22"/>
                <w:szCs w:val="22"/>
                <w:lang w:eastAsia="en-US"/>
              </w:rPr>
              <w:t>4</w:t>
            </w:r>
            <w:r w:rsidRPr="00DC2FDD">
              <w:rPr>
                <w:kern w:val="2"/>
                <w:sz w:val="22"/>
                <w:szCs w:val="22"/>
                <w:lang w:val="en-US" w:eastAsia="en-US"/>
              </w:rPr>
              <w:t>95</w:t>
            </w:r>
          </w:p>
        </w:tc>
      </w:tr>
    </w:tbl>
    <w:p w:rsidR="00145D18" w:rsidRPr="00792F55" w:rsidRDefault="00145D18" w:rsidP="00792F55">
      <w:pPr>
        <w:rPr>
          <w:sz w:val="20"/>
          <w:szCs w:val="20"/>
        </w:rPr>
      </w:pPr>
      <w:r w:rsidRPr="00792F55">
        <w:rPr>
          <w:sz w:val="20"/>
          <w:szCs w:val="20"/>
          <w:lang w:val="en-US"/>
        </w:rPr>
        <w:t>Δλ</w:t>
      </w:r>
      <w:r w:rsidRPr="00792F55">
        <w:rPr>
          <w:sz w:val="20"/>
          <w:szCs w:val="20"/>
          <w:vertAlign w:val="subscript"/>
          <w:lang w:val="en-US"/>
        </w:rPr>
        <w:t>a</w:t>
      </w:r>
      <w:r w:rsidRPr="00792F55">
        <w:rPr>
          <w:sz w:val="20"/>
          <w:szCs w:val="20"/>
          <w:vertAlign w:val="superscript"/>
        </w:rPr>
        <w:t xml:space="preserve">1:2 </w:t>
      </w:r>
      <w:r w:rsidRPr="00792F55">
        <w:rPr>
          <w:sz w:val="20"/>
          <w:szCs w:val="20"/>
        </w:rPr>
        <w:t xml:space="preserve">= </w:t>
      </w:r>
      <w:r w:rsidRPr="00792F55">
        <w:rPr>
          <w:sz w:val="20"/>
          <w:szCs w:val="20"/>
          <w:lang w:val="en-US"/>
        </w:rPr>
        <w:t>λ</w:t>
      </w:r>
      <w:r w:rsidRPr="00792F55">
        <w:rPr>
          <w:sz w:val="20"/>
          <w:szCs w:val="20"/>
          <w:vertAlign w:val="subscript"/>
          <w:lang w:val="en-US"/>
        </w:rPr>
        <w:t>a</w:t>
      </w:r>
      <w:r w:rsidRPr="00792F55">
        <w:rPr>
          <w:sz w:val="20"/>
          <w:szCs w:val="20"/>
        </w:rPr>
        <w:t>(</w:t>
      </w:r>
      <w:r w:rsidRPr="004116FA">
        <w:rPr>
          <w:b/>
          <w:sz w:val="20"/>
          <w:szCs w:val="20"/>
          <w:lang w:val="en-US"/>
        </w:rPr>
        <w:t>CD</w:t>
      </w:r>
      <w:r w:rsidRPr="004116FA">
        <w:rPr>
          <w:b/>
          <w:sz w:val="20"/>
          <w:szCs w:val="20"/>
        </w:rPr>
        <w:t>6</w:t>
      </w:r>
      <w:r w:rsidRPr="00792F55">
        <w:rPr>
          <w:sz w:val="20"/>
          <w:szCs w:val="20"/>
        </w:rPr>
        <w:t xml:space="preserve">) - </w:t>
      </w:r>
      <w:r w:rsidRPr="00792F55">
        <w:rPr>
          <w:sz w:val="20"/>
          <w:szCs w:val="20"/>
          <w:lang w:val="en-US"/>
        </w:rPr>
        <w:t>λ</w:t>
      </w:r>
      <w:r w:rsidRPr="00792F55">
        <w:rPr>
          <w:sz w:val="20"/>
          <w:szCs w:val="20"/>
          <w:vertAlign w:val="subscript"/>
          <w:lang w:val="en-US"/>
        </w:rPr>
        <w:t>a</w:t>
      </w:r>
      <w:r w:rsidRPr="00792F55">
        <w:rPr>
          <w:sz w:val="20"/>
          <w:szCs w:val="20"/>
          <w:vertAlign w:val="superscript"/>
        </w:rPr>
        <w:t>1:2</w:t>
      </w:r>
      <w:r w:rsidRPr="00792F55">
        <w:rPr>
          <w:sz w:val="20"/>
          <w:szCs w:val="20"/>
        </w:rPr>
        <w:t xml:space="preserve">(комплекс), </w:t>
      </w:r>
      <w:r w:rsidRPr="00792F55">
        <w:rPr>
          <w:sz w:val="20"/>
          <w:szCs w:val="20"/>
          <w:lang w:val="en-US"/>
        </w:rPr>
        <w:t>Δλ</w:t>
      </w:r>
      <w:r w:rsidRPr="00792F55">
        <w:rPr>
          <w:sz w:val="20"/>
          <w:szCs w:val="20"/>
          <w:vertAlign w:val="subscript"/>
          <w:lang w:val="en-US"/>
        </w:rPr>
        <w:t>fl</w:t>
      </w:r>
      <w:r w:rsidRPr="00792F55">
        <w:rPr>
          <w:sz w:val="20"/>
          <w:szCs w:val="20"/>
          <w:vertAlign w:val="superscript"/>
        </w:rPr>
        <w:t xml:space="preserve">1:2  </w:t>
      </w:r>
      <w:r w:rsidRPr="00792F55">
        <w:rPr>
          <w:sz w:val="20"/>
          <w:szCs w:val="20"/>
        </w:rPr>
        <w:t xml:space="preserve">= </w:t>
      </w:r>
      <w:r w:rsidRPr="00792F55">
        <w:rPr>
          <w:sz w:val="20"/>
          <w:szCs w:val="20"/>
          <w:lang w:val="en-US"/>
        </w:rPr>
        <w:t>λ</w:t>
      </w:r>
      <w:r w:rsidRPr="00792F55">
        <w:rPr>
          <w:sz w:val="20"/>
          <w:szCs w:val="20"/>
          <w:vertAlign w:val="subscript"/>
          <w:lang w:val="en-US"/>
        </w:rPr>
        <w:t>fl</w:t>
      </w:r>
      <w:r w:rsidRPr="00792F55">
        <w:rPr>
          <w:sz w:val="20"/>
          <w:szCs w:val="20"/>
        </w:rPr>
        <w:t>(</w:t>
      </w:r>
      <w:r w:rsidRPr="004116FA">
        <w:rPr>
          <w:b/>
          <w:sz w:val="20"/>
          <w:szCs w:val="20"/>
          <w:lang w:val="en-US"/>
        </w:rPr>
        <w:t>CD</w:t>
      </w:r>
      <w:r w:rsidRPr="004116FA">
        <w:rPr>
          <w:b/>
          <w:sz w:val="20"/>
          <w:szCs w:val="20"/>
        </w:rPr>
        <w:t>6</w:t>
      </w:r>
      <w:r w:rsidRPr="00792F55">
        <w:rPr>
          <w:sz w:val="20"/>
          <w:szCs w:val="20"/>
        </w:rPr>
        <w:t xml:space="preserve">) – </w:t>
      </w:r>
      <w:r w:rsidRPr="00792F55">
        <w:rPr>
          <w:sz w:val="20"/>
          <w:szCs w:val="20"/>
          <w:lang w:val="en-US"/>
        </w:rPr>
        <w:t>λ</w:t>
      </w:r>
      <w:r w:rsidRPr="00792F55">
        <w:rPr>
          <w:sz w:val="20"/>
          <w:szCs w:val="20"/>
          <w:vertAlign w:val="subscript"/>
          <w:lang w:val="en-US"/>
        </w:rPr>
        <w:t>fl</w:t>
      </w:r>
      <w:r w:rsidRPr="00792F55">
        <w:rPr>
          <w:sz w:val="20"/>
          <w:szCs w:val="20"/>
          <w:vertAlign w:val="superscript"/>
        </w:rPr>
        <w:t>1:2</w:t>
      </w:r>
      <w:r w:rsidRPr="00792F55">
        <w:rPr>
          <w:sz w:val="20"/>
          <w:szCs w:val="20"/>
        </w:rPr>
        <w:t xml:space="preserve">(комплекс), </w:t>
      </w:r>
      <m:oMath>
        <m:r>
          <w:rPr>
            <w:rFonts w:ascii="Cambria Math" w:hAnsi="Cambria Math"/>
            <w:sz w:val="20"/>
            <w:szCs w:val="20"/>
          </w:rPr>
          <m:t>τ</m:t>
        </m:r>
      </m:oMath>
      <w:r w:rsidRPr="00792F55">
        <w:rPr>
          <w:sz w:val="20"/>
          <w:szCs w:val="20"/>
        </w:rPr>
        <w:t xml:space="preserve"> = время разгорания полосы </w:t>
      </w:r>
      <w:r w:rsidRPr="00792F55">
        <w:rPr>
          <w:sz w:val="20"/>
          <w:szCs w:val="20"/>
          <w:lang w:val="en-US"/>
        </w:rPr>
        <w:t>S</w:t>
      </w:r>
      <w:r w:rsidRPr="00792F55">
        <w:rPr>
          <w:sz w:val="20"/>
          <w:szCs w:val="20"/>
          <w:vertAlign w:val="subscript"/>
        </w:rPr>
        <w:t>1</w:t>
      </w:r>
      <w:r w:rsidRPr="00792F55">
        <w:rPr>
          <w:sz w:val="20"/>
          <w:szCs w:val="20"/>
        </w:rPr>
        <w:t>-</w:t>
      </w:r>
      <w:r w:rsidRPr="00792F55">
        <w:rPr>
          <w:sz w:val="20"/>
          <w:szCs w:val="20"/>
          <w:lang w:val="en-US"/>
        </w:rPr>
        <w:t>S</w:t>
      </w:r>
      <w:r w:rsidRPr="00792F55">
        <w:rPr>
          <w:sz w:val="20"/>
          <w:szCs w:val="20"/>
          <w:vertAlign w:val="subscript"/>
          <w:lang w:val="en-US"/>
        </w:rPr>
        <w:t>n</w:t>
      </w:r>
      <w:r w:rsidRPr="00792F55">
        <w:rPr>
          <w:sz w:val="20"/>
          <w:szCs w:val="20"/>
        </w:rPr>
        <w:t xml:space="preserve"> поглощения на ~500 нм.</w:t>
      </w:r>
    </w:p>
    <w:p w:rsidR="00145D18" w:rsidRPr="004116FA" w:rsidRDefault="00145D18">
      <w:pPr>
        <w:jc w:val="both"/>
      </w:pPr>
    </w:p>
    <w:p w:rsidR="00145D18" w:rsidRDefault="00145D18">
      <w:pPr>
        <w:jc w:val="both"/>
      </w:pPr>
      <w:r>
        <w:t>Полученные результаты открывают новые возможности использования бис(аза-18-краун-6)содержащих дибензилиденциклоалканонов и реакции фоторекоординации для создания фотопереключаемых супрамолекулярных устройств для аналитического применения.</w:t>
      </w:r>
    </w:p>
    <w:p w:rsidR="00145D18" w:rsidRDefault="00145D18">
      <w:pPr>
        <w:shd w:val="clear" w:color="auto" w:fill="FFFFFF"/>
        <w:jc w:val="both"/>
        <w:rPr>
          <w:i/>
          <w:iCs/>
        </w:rPr>
      </w:pPr>
      <w:r>
        <w:t xml:space="preserve">       </w:t>
      </w:r>
      <w:r>
        <w:rPr>
          <w:i/>
          <w:iCs/>
        </w:rPr>
        <w:t xml:space="preserve">Синтез и </w:t>
      </w:r>
      <w:r w:rsidRPr="00DC2FDD">
        <w:rPr>
          <w:i/>
          <w:iCs/>
        </w:rPr>
        <w:t>исследование комплексообразования были выполнены при финансовой поддержке Российского научного фонда 25-73-20016</w:t>
      </w:r>
      <w:r w:rsidR="00DC2FDD">
        <w:rPr>
          <w:i/>
          <w:iCs/>
        </w:rPr>
        <w:t>.</w:t>
      </w:r>
      <w:r w:rsidR="00DC2FDD" w:rsidRPr="00DC2FDD">
        <w:rPr>
          <w:i/>
          <w:iCs/>
        </w:rPr>
        <w:t xml:space="preserve"> </w:t>
      </w:r>
      <w:r w:rsidRPr="00DC2FDD">
        <w:rPr>
          <w:i/>
          <w:iCs/>
        </w:rPr>
        <w:t>Низкотемпературные</w:t>
      </w:r>
      <w:r>
        <w:rPr>
          <w:i/>
          <w:iCs/>
        </w:rPr>
        <w:t xml:space="preserve"> исследования </w:t>
      </w:r>
      <w:r>
        <w:rPr>
          <w:rStyle w:val="layout"/>
          <w:i/>
          <w:iCs/>
        </w:rPr>
        <w:t xml:space="preserve">выполнялись с использованием оборудования химического факультета МГУ имени М. В. Ломоносова </w:t>
      </w:r>
      <w:r>
        <w:rPr>
          <w:i/>
          <w:iCs/>
        </w:rPr>
        <w:t xml:space="preserve">в рамках гос. задания по теме </w:t>
      </w:r>
      <w:r>
        <w:rPr>
          <w:i/>
          <w:iCs/>
          <w:lang w:val="en-US"/>
        </w:rPr>
        <w:t>AAAA</w:t>
      </w:r>
      <w:r>
        <w:rPr>
          <w:i/>
          <w:iCs/>
        </w:rPr>
        <w:t>-</w:t>
      </w:r>
      <w:r>
        <w:rPr>
          <w:i/>
          <w:iCs/>
          <w:lang w:val="en-US"/>
        </w:rPr>
        <w:t>A</w:t>
      </w:r>
      <w:r>
        <w:rPr>
          <w:i/>
          <w:iCs/>
        </w:rPr>
        <w:t>21-121011590090-7.</w:t>
      </w:r>
    </w:p>
    <w:p w:rsidR="00145D18" w:rsidRPr="00DC2FDD" w:rsidRDefault="00145D18">
      <w:pP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DC2FDD" w:rsidRPr="007A5422" w:rsidRDefault="00145D18" w:rsidP="00DC2FDD">
      <w:pPr>
        <w:rPr>
          <w:shd w:val="clear" w:color="auto" w:fill="FFFFFF"/>
          <w:lang w:val="en-US"/>
        </w:rPr>
      </w:pPr>
      <w:r w:rsidRPr="00DC2FDD">
        <w:rPr>
          <w:bCs/>
          <w:color w:val="000000"/>
        </w:rPr>
        <w:t>1</w:t>
      </w:r>
      <w:r w:rsidR="00DC2FDD">
        <w:rPr>
          <w:shd w:val="clear" w:color="auto" w:fill="FFFFFF"/>
        </w:rPr>
        <w:t>.</w:t>
      </w:r>
      <w:r w:rsidR="00DC2FDD" w:rsidRPr="00DC2FDD">
        <w:rPr>
          <w:shd w:val="clear" w:color="auto" w:fill="FFFFFF"/>
        </w:rPr>
        <w:t xml:space="preserve"> </w:t>
      </w:r>
      <w:r w:rsidR="00DC2FDD" w:rsidRPr="007A5422">
        <w:rPr>
          <w:shd w:val="clear" w:color="auto" w:fill="FFFFFF"/>
        </w:rPr>
        <w:t xml:space="preserve">М. В. Русалов, Б. М. Ужинов, М. В. Алфимов, С. П. Громов. </w:t>
      </w:r>
      <w:r w:rsidR="00DC2FDD" w:rsidRPr="007A5422">
        <w:rPr>
          <w:color w:val="000000"/>
          <w:shd w:val="clear" w:color="auto" w:fill="FFFFFF"/>
        </w:rPr>
        <w:t xml:space="preserve">Фотоиндуцированная рекоординация катионов металлов в комплексах с хромогенными краун-эфирами // Успехи химии. </w:t>
      </w:r>
      <w:r w:rsidR="00DC2FDD" w:rsidRPr="007A5422">
        <w:rPr>
          <w:color w:val="000000"/>
          <w:shd w:val="clear" w:color="auto" w:fill="FFFFFF"/>
          <w:lang w:val="en-US"/>
        </w:rPr>
        <w:t>2010. V. 79(12). P. 1193-1217.</w:t>
      </w:r>
    </w:p>
    <w:p w:rsidR="00145D18" w:rsidRPr="00E757D9" w:rsidRDefault="00145D18">
      <w:pPr>
        <w:shd w:val="clear" w:color="auto" w:fill="FFFFFF"/>
        <w:jc w:val="both"/>
        <w:rPr>
          <w:color w:val="000000"/>
          <w:shd w:val="clear" w:color="auto" w:fill="FFFFFF"/>
        </w:rPr>
      </w:pPr>
    </w:p>
    <w:p w:rsidR="00145D18" w:rsidRPr="00E757D9" w:rsidRDefault="00145D18">
      <w:pPr>
        <w:shd w:val="clear" w:color="auto" w:fill="FFFFFF"/>
        <w:jc w:val="both"/>
        <w:rPr>
          <w:bCs/>
          <w:color w:val="000000"/>
        </w:rPr>
      </w:pPr>
    </w:p>
    <w:sectPr w:rsidR="00145D18" w:rsidRPr="00E757D9" w:rsidSect="001B177C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autoHyphenation/>
  <w:hyphenationZone w:val="0"/>
  <w:characterSpacingControl w:val="doNotCompress"/>
  <w:compat/>
  <w:rsids>
    <w:rsidRoot w:val="0028766E"/>
    <w:rsid w:val="000F28E4"/>
    <w:rsid w:val="00145D18"/>
    <w:rsid w:val="00162777"/>
    <w:rsid w:val="00186F85"/>
    <w:rsid w:val="001B177C"/>
    <w:rsid w:val="00253177"/>
    <w:rsid w:val="00254F90"/>
    <w:rsid w:val="0028766E"/>
    <w:rsid w:val="003F45B3"/>
    <w:rsid w:val="004116FA"/>
    <w:rsid w:val="00427458"/>
    <w:rsid w:val="005B6056"/>
    <w:rsid w:val="0063379E"/>
    <w:rsid w:val="006442B5"/>
    <w:rsid w:val="00792F55"/>
    <w:rsid w:val="00793EA6"/>
    <w:rsid w:val="007D2CD5"/>
    <w:rsid w:val="00854519"/>
    <w:rsid w:val="009D73EB"/>
    <w:rsid w:val="00A44DDC"/>
    <w:rsid w:val="00BE5D55"/>
    <w:rsid w:val="00CE1C5A"/>
    <w:rsid w:val="00D34E40"/>
    <w:rsid w:val="00DC2FDD"/>
    <w:rsid w:val="00E17F4D"/>
    <w:rsid w:val="00E757D9"/>
    <w:rsid w:val="00FB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2B5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42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42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42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42B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42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42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C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C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CD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CD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C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CD5"/>
    <w:rPr>
      <w:rFonts w:ascii="Calibri" w:hAnsi="Calibri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442B5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442B5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6442B5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6442B5"/>
    <w:rPr>
      <w:rFonts w:cs="Times New Roman"/>
      <w:color w:val="605E5C"/>
      <w:shd w:val="clear" w:color="auto" w:fill="E1DFDD"/>
    </w:rPr>
  </w:style>
  <w:style w:type="character" w:customStyle="1" w:styleId="layout">
    <w:name w:val="layout"/>
    <w:uiPriority w:val="99"/>
    <w:rsid w:val="006442B5"/>
  </w:style>
  <w:style w:type="character" w:customStyle="1" w:styleId="apple-converted-space">
    <w:name w:val="apple-converted-space"/>
    <w:basedOn w:val="DefaultParagraphFont"/>
    <w:uiPriority w:val="99"/>
    <w:rsid w:val="006442B5"/>
    <w:rPr>
      <w:rFonts w:cs="Times New Roman"/>
    </w:rPr>
  </w:style>
  <w:style w:type="character" w:customStyle="1" w:styleId="BalloonTextChar">
    <w:name w:val="Balloon Text Char"/>
    <w:link w:val="BalloonText"/>
    <w:uiPriority w:val="99"/>
    <w:semiHidden/>
    <w:locked/>
    <w:rsid w:val="006442B5"/>
    <w:rPr>
      <w:rFonts w:ascii="Tahoma" w:hAnsi="Tahoma" w:cs="Tahoma"/>
      <w:sz w:val="16"/>
      <w:szCs w:val="16"/>
    </w:rPr>
  </w:style>
  <w:style w:type="paragraph" w:customStyle="1" w:styleId="a">
    <w:name w:val="Заголовок"/>
    <w:basedOn w:val="Normal"/>
    <w:next w:val="BodyText"/>
    <w:uiPriority w:val="99"/>
    <w:rsid w:val="001B177C"/>
    <w:pPr>
      <w:keepNext/>
      <w:spacing w:before="240" w:after="120"/>
    </w:pPr>
    <w:rPr>
      <w:rFonts w:eastAsia="Calibri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B177C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CD5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1B177C"/>
    <w:rPr>
      <w:rFonts w:cs="Lohit Devanagari"/>
    </w:rPr>
  </w:style>
  <w:style w:type="paragraph" w:styleId="Caption">
    <w:name w:val="caption"/>
    <w:basedOn w:val="Normal"/>
    <w:uiPriority w:val="99"/>
    <w:qFormat/>
    <w:rsid w:val="001B177C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6442B5"/>
    <w:pPr>
      <w:ind w:left="240" w:hanging="240"/>
    </w:pPr>
  </w:style>
  <w:style w:type="paragraph" w:styleId="IndexHeading">
    <w:name w:val="index heading"/>
    <w:basedOn w:val="Normal"/>
    <w:uiPriority w:val="99"/>
    <w:rsid w:val="001B177C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99"/>
    <w:qFormat/>
    <w:rsid w:val="006442B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7D2CD5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442B5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2CD5"/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6442B5"/>
    <w:pPr>
      <w:ind w:left="720"/>
      <w:contextualSpacing/>
    </w:pPr>
  </w:style>
  <w:style w:type="paragraph" w:styleId="NoSpacing">
    <w:name w:val="No Spacing"/>
    <w:uiPriority w:val="99"/>
    <w:qFormat/>
    <w:rsid w:val="006442B5"/>
    <w:pPr>
      <w:suppressAutoHyphens/>
    </w:pPr>
    <w:rPr>
      <w:rFonts w:cs="Times New Roman"/>
      <w:lang w:val="en-US" w:eastAsia="en-US"/>
    </w:rPr>
  </w:style>
  <w:style w:type="paragraph" w:styleId="Revision">
    <w:name w:val="Revision"/>
    <w:uiPriority w:val="99"/>
    <w:semiHidden/>
    <w:rsid w:val="006442B5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6442B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D2CD5"/>
    <w:rPr>
      <w:rFonts w:ascii="Times New Roman" w:hAnsi="Times New Roman" w:cs="Times New Roman"/>
      <w:sz w:val="2"/>
    </w:rPr>
  </w:style>
  <w:style w:type="table" w:customStyle="1" w:styleId="TableNormal1">
    <w:name w:val="Table Normal1"/>
    <w:uiPriority w:val="99"/>
    <w:rsid w:val="006442B5"/>
    <w:pPr>
      <w:suppressAutoHyphens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6442B5"/>
    <w:rPr>
      <w:rFonts w:ascii="Cambria" w:hAnsi="Cambria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9D73E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Company>Lomonosov MSU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</dc:creator>
  <cp:lastModifiedBy>Oleg</cp:lastModifiedBy>
  <cp:revision>2</cp:revision>
  <dcterms:created xsi:type="dcterms:W3CDTF">2025-02-28T08:35:00Z</dcterms:created>
  <dcterms:modified xsi:type="dcterms:W3CDTF">2025-02-28T08:35:00Z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