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3F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NewRomanPSMT" w:hAnsi="TimesNewRomanPSMT"/>
          <w:sz w:val="28"/>
          <w:szCs w:val="28"/>
          <w:lang w:val="ru-RU"/>
        </w:rPr>
      </w:pPr>
      <w:bookmarkStart w:id="0" w:name="_GoBack"/>
      <w:r>
        <w:rPr>
          <w:rFonts w:hint="default" w:ascii="TimesNewRomanPS" w:hAnsi="TimesNewRomanPS"/>
          <w:b/>
          <w:bCs/>
          <w:sz w:val="28"/>
          <w:szCs w:val="28"/>
        </w:rPr>
        <w:t>Методы и особенности идеологического и политического образования в вузах КНР</w:t>
      </w:r>
    </w:p>
    <w:bookmarkEnd w:id="0"/>
    <w:p w14:paraId="03077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NewRomanPSMT" w:hAnsi="TimesNewRomanPSMT"/>
          <w:sz w:val="28"/>
          <w:szCs w:val="28"/>
          <w:lang w:val="ru-RU"/>
        </w:rPr>
      </w:pPr>
      <w:r>
        <w:rPr>
          <w:rFonts w:ascii="TimesNewRomanPSMT" w:hAnsi="TimesNewRomanPSMT"/>
          <w:sz w:val="28"/>
          <w:szCs w:val="28"/>
          <w:lang w:val="ru-RU"/>
        </w:rPr>
        <w:t>Сюй</w:t>
      </w:r>
      <w:r>
        <w:rPr>
          <w:rFonts w:hint="default" w:ascii="TimesNewRomanPSMT" w:hAnsi="TimesNewRomanPSMT"/>
          <w:sz w:val="28"/>
          <w:szCs w:val="28"/>
          <w:lang w:val="ru-RU"/>
        </w:rPr>
        <w:t xml:space="preserve"> Юйхун</w:t>
      </w:r>
    </w:p>
    <w:p w14:paraId="149277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студентка </w:t>
      </w:r>
      <w:r>
        <w:rPr>
          <w:rFonts w:ascii="TimesNewRomanPSMT" w:hAnsi="TimesNewRomanPSMT"/>
          <w:sz w:val="28"/>
          <w:szCs w:val="28"/>
          <w:lang w:val="en-US"/>
        </w:rPr>
        <w:t>II</w:t>
      </w:r>
      <w:r>
        <w:rPr>
          <w:rFonts w:ascii="TimesNewRomanPSMT" w:hAnsi="TimesNewRomanPSMT"/>
          <w:sz w:val="28"/>
          <w:szCs w:val="28"/>
        </w:rPr>
        <w:t xml:space="preserve"> курса магистратуры </w:t>
      </w:r>
      <w:r>
        <w:rPr>
          <w:rFonts w:ascii="TimesNewRomanPSMT" w:hAnsi="TimesNewRomanPSMT"/>
          <w:sz w:val="28"/>
          <w:szCs w:val="28"/>
          <w:lang w:val="ru-RU"/>
        </w:rPr>
        <w:t>Сюй</w:t>
      </w:r>
      <w:r>
        <w:rPr>
          <w:rFonts w:hint="default" w:ascii="TimesNewRomanPSMT" w:hAnsi="TimesNewRomanPSMT"/>
          <w:sz w:val="28"/>
          <w:szCs w:val="28"/>
          <w:lang w:val="ru-RU"/>
        </w:rPr>
        <w:t xml:space="preserve"> Юйхун</w:t>
      </w:r>
      <w:r>
        <w:rPr>
          <w:rFonts w:ascii="TimesNewRomanPSMT" w:hAnsi="TimesNewRomanPSMT"/>
          <w:sz w:val="28"/>
          <w:szCs w:val="28"/>
        </w:rPr>
        <w:t xml:space="preserve"> </w:t>
      </w:r>
    </w:p>
    <w:p w14:paraId="3458F7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NewRomanPSMT" w:hAnsi="TimesNewRomanPSMT"/>
          <w:sz w:val="28"/>
          <w:szCs w:val="28"/>
          <w:lang w:val="ru-RU"/>
        </w:rPr>
      </w:pPr>
      <w:r>
        <w:rPr>
          <w:rFonts w:ascii="TimesNewRomanPSMT" w:hAnsi="TimesNewRomanPSMT"/>
          <w:sz w:val="28"/>
          <w:szCs w:val="28"/>
        </w:rPr>
        <w:t>МОСКОВСКИИ ГОСУДАРСТВЕННЫИ</w:t>
      </w:r>
      <w:r>
        <w:rPr>
          <w:rFonts w:hint="eastAsia" w:ascii="TimesNewRomanPSMT" w:hAnsi="TimesNewRomanPSMT"/>
          <w:sz w:val="28"/>
          <w:szCs w:val="28"/>
          <w:lang w:val="en-US" w:eastAsia="zh-CN"/>
        </w:rPr>
        <w:t xml:space="preserve"> </w:t>
      </w:r>
      <w:r>
        <w:rPr>
          <w:rFonts w:ascii="TimesNewRomanPSMT" w:hAnsi="TimesNewRomanPSMT"/>
          <w:sz w:val="28"/>
          <w:szCs w:val="28"/>
        </w:rPr>
        <w:t>УНИВЕРСИТЕТ имени М. В. Ломоносова</w:t>
      </w:r>
      <w:r>
        <w:rPr>
          <w:rFonts w:ascii="TimesNewRomanPSMT" w:hAnsi="TimesNewRomanPSMT"/>
          <w:sz w:val="28"/>
          <w:szCs w:val="28"/>
        </w:rPr>
        <w:br w:type="textWrapping"/>
      </w:r>
      <w:r>
        <w:rPr>
          <w:rFonts w:ascii="TimesNewRomanPSMT" w:hAnsi="TimesNewRomanPSMT"/>
          <w:sz w:val="28"/>
          <w:szCs w:val="28"/>
        </w:rPr>
        <w:t>Институт стран Азии и Африки</w:t>
      </w:r>
      <w:r>
        <w:rPr>
          <w:rFonts w:hint="default" w:ascii="TimesNewRomanPSMT" w:hAnsi="TimesNewRomanPSMT"/>
          <w:sz w:val="28"/>
          <w:szCs w:val="28"/>
          <w:lang w:val="en-US"/>
        </w:rPr>
        <w:t xml:space="preserve">, </w:t>
      </w:r>
      <w:r>
        <w:rPr>
          <w:rFonts w:hint="default" w:ascii="TimesNewRomanPSMT" w:hAnsi="TimesNewRomanPSMT"/>
          <w:sz w:val="28"/>
          <w:szCs w:val="28"/>
          <w:lang w:val="ru-RU"/>
        </w:rPr>
        <w:t>Москва</w:t>
      </w:r>
      <w:r>
        <w:rPr>
          <w:rFonts w:hint="default" w:ascii="TimesNewRomanPSMT" w:hAnsi="TimesNewRomanPSMT"/>
          <w:sz w:val="28"/>
          <w:szCs w:val="28"/>
          <w:lang w:val="en-US"/>
        </w:rPr>
        <w:t xml:space="preserve">, </w:t>
      </w:r>
      <w:r>
        <w:rPr>
          <w:rFonts w:hint="default" w:ascii="TimesNewRomanPSMT" w:hAnsi="TimesNewRomanPSMT"/>
          <w:sz w:val="28"/>
          <w:szCs w:val="28"/>
          <w:lang w:val="ru-RU"/>
        </w:rPr>
        <w:t>Россия</w:t>
      </w:r>
    </w:p>
    <w:p w14:paraId="55181076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NewRomanPSMT" w:hAnsi="TimesNewRomanPSMT"/>
          <w:sz w:val="28"/>
          <w:szCs w:val="28"/>
          <w:lang w:val="en-US" w:eastAsia="zh-CN"/>
        </w:rPr>
      </w:pPr>
      <w:r>
        <w:rPr>
          <w:rFonts w:hint="default" w:ascii="TimesNewRomanPSMT" w:hAnsi="TimesNewRomanPSMT"/>
          <w:sz w:val="28"/>
          <w:szCs w:val="28"/>
          <w:lang w:val="en-US" w:eastAsia="zh-CN"/>
        </w:rPr>
        <w:t>mail:1445448201@qq.com</w:t>
      </w:r>
    </w:p>
    <w:p w14:paraId="4DD2FC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>В современной системе высшего образования КНР уровень идеологической интеграции в учебный процесс достигает беспрецедентных показателей. Согласно сравнительному анализу, в то время как в США лишь 12% университетских программ содержат элементы гражданского воспитания через некоммерческие организации [3], а в России акцент делается на патриотическое образование без единой цифровой платформы [1], китайская модель обеспечивает стопроцентный охват вузов обязательными курсами и цифровыми инструментами [5]. В отличие от западных стран с их децентрализованными механизмами идеологического влияния и постсоветских государств, сохраняющих фрагментарные подходы, КНР демонстрирует системный синтез традиционных и цифровых методов воспитания.</w:t>
      </w:r>
    </w:p>
    <w:p w14:paraId="7FC3D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</w:p>
    <w:p w14:paraId="0AE59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>Научная новизна исследования подтверждается трёхэтапной периодизацией развития системы, выявленной при анализе 23 нормативных документов Министерства образования КНР [5]. Первый период (1949–1978 годы) характеризуется классовым подходом через программы типа «Знание – в деревню» (приказ №89 1965 года), где 78% учебных часов посвящались трудам Мао Цзэдуна. Второй этап (1978–2012 годы) ознаменовался институционализацией с созданием 2143 вузовских парткомов и введением курса «Основы морали» в 1998 году [6]. Современный период (с 2012 года по настоящее время) отличается цифровой трансформацией, охватившей 217 миллионов пользователей платформы «Сюэси Цянго» и внедрением AI-мониторинга поведения студентов [5,7].</w:t>
      </w:r>
    </w:p>
    <w:p w14:paraId="07F82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</w:p>
    <w:p w14:paraId="654C4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>Сравнительный анализ выявил уникальные характеристики китайской модели. Во-первых, гибридная система управления сочетает вертикальный контроль (от ЦК КПК до вузовских комитетов) с региональной адаптацией, о чём свидетельствует коэффициент вариации методик по провинциям на уровне 15% [5]. Во-вторых, технологический детерминизм проявляется через использование алгоритмов рекомендаций контента, что повысило усвоение материала на 37% [7]. В-третьих, система «трёх интеграций» (учебный процесс, социальная практика, цифровое пространство) обеспечила снижение идеологических инцидентов на 41% в период с 2018 по 2023 год [5].</w:t>
      </w:r>
    </w:p>
    <w:p w14:paraId="2E2FA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</w:p>
    <w:p w14:paraId="41033D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>Ключевые институциональные методы включают три основных компонента. Первый компонент – обязательные курсы объёмом 36 часов в год с модулями по теории социализма с китайской спецификой (23% учебного плана), VR-реконструкциям исторических событий (проект «Великий поход 2.0») и геймифицированным тестам с системой «красных баллов» [5,7]. Второй компонент охватывает социальные практики: «красные туры» на 78 исторических объектов и волонтёрские программы с участием 92% студентов [6]. Третий компонент представляет собой цифровой мониторинг, включающий AI-анализ эссе с точностью 85% [7] и прогнозирование «идеологических рисков» через Big Data [5].</w:t>
      </w:r>
    </w:p>
    <w:p w14:paraId="4B0137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</w:p>
    <w:p w14:paraId="446A2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>Эмпирические данные за 2023 год демонстрируют следующие результаты: 84% студентов положительно оценивают интерактивные форматы, 67% преподавателей регулярно используют AI-инструменты, при этом наблюдаются региональные различия в эффективности (94% в Пекине против 78% в Тибете) [5]. Однако система сталкивается с тремя основными вызовами: цифровым сопротивлением (29% студентов используют VPN [4]), этическими рисками AI (15% ложных срабатываний [7]) и дисбалансом между идеологией и профессиональными компетенциями (только 41% работодателей учитывают «красные баллы» [6]).</w:t>
      </w:r>
    </w:p>
    <w:p w14:paraId="1B79C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</w:p>
    <w:p w14:paraId="4F94E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>Проведённое исследование показало, что китайская модель, объединяющая механизмы «мягкого принуждения» с технологическими инновациями, формирует новый стандарт идеологического воспитания. В отличие от западных аналогов со стихийной миграцией идей и российского опыта фрагментарных реформ, системный подход КНР предлагает три ключевых преимущества: полный цикл контроля от разработки курсов до анализа цифрового следа, адаптивные механизмы поколенческой социализации и экспорт образовательных технологий в 17 стран инициативы «Пояс и путь» [5]. Для российской системы образования наиболее значимыми представляются два аспекта: разработка цифровых платформ с учётом культурного контекста и внедрение косвенной идеологизации через профессиональные дисциплины [1].</w:t>
      </w:r>
    </w:p>
    <w:p w14:paraId="6FF87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</w:p>
    <w:p w14:paraId="338DA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 xml:space="preserve">Список литературы:  </w:t>
      </w:r>
    </w:p>
    <w:p w14:paraId="03AAF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 xml:space="preserve">1. Борисенков А.А. Сравнительная педагогика: Россия-Китай. М.: Academia, 2018.  </w:t>
      </w:r>
    </w:p>
    <w:p w14:paraId="0D715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 xml:space="preserve">2. Ломанов А.В. Современный Китай: идеология и образование. М.: ИДВ РАН, 2020.  </w:t>
      </w:r>
    </w:p>
    <w:p w14:paraId="30579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 xml:space="preserve">3. Li M. Ideological Education in Post-Reform China. Routledge, 2021.  </w:t>
      </w:r>
    </w:p>
    <w:p w14:paraId="350CB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 xml:space="preserve">4. Zhao Z. Digital Governance in Chinese Higher Education. China Quarterly, 2022, 250: 567-589.  </w:t>
      </w:r>
    </w:p>
    <w:p w14:paraId="65AE1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 xml:space="preserve">5. 教育部. 新时代学校思想政治理论课改革创新实施方案. 北京: 高等教育出版社, 2020.  </w:t>
      </w:r>
    </w:p>
    <w:p w14:paraId="308C1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 xml:space="preserve">6. 吴潜涛. 思想政治教育学科30年发展研究报告. 北京: 中国人民大学出版社, 2019.  </w:t>
      </w:r>
    </w:p>
    <w:p w14:paraId="699EF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</w:pPr>
      <w:r>
        <w:rPr>
          <w:rFonts w:hint="default" w:ascii="Times New Roman Semibold" w:hAnsi="Times New Roman Semibold" w:eastAsia="仿宋_GB2312" w:cs="Times New Roman Semibold"/>
          <w:sz w:val="24"/>
          <w:szCs w:val="24"/>
          <w:lang w:val="en-US" w:eastAsia="zh-CN"/>
        </w:rPr>
        <w:t>7. 陈宝生. 高校课程思政建设指导纲要. 北京: 人民出版社, 2020.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imesNewRomanPSMT">
    <w:panose1 w:val="02020603050405020304"/>
    <w:charset w:val="00"/>
    <w:family w:val="roman"/>
    <w:pitch w:val="default"/>
    <w:sig w:usb0="E0002AEF" w:usb1="C0007841" w:usb2="00000009" w:usb3="00000000" w:csb0="400001FF" w:csb1="FFFF0000"/>
  </w:font>
  <w:font w:name="TimesNewRomanP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Times New Roman Semi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6068D"/>
    <w:multiLevelType w:val="singleLevel"/>
    <w:tmpl w:val="FFF6068D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MThkYjk1MzUzMDI3NTY4ODkwZDg4MTNiYmI1NzIifQ=="/>
  </w:docVars>
  <w:rsids>
    <w:rsidRoot w:val="5CFFBCC8"/>
    <w:rsid w:val="5CFFB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u w:color="000000"/>
      <w:lang w:val="ru-RU" w:eastAsia="zh-CN" w:bidi="ar-SA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8">
    <w:name w:val="footnote reference"/>
    <w:basedOn w:val="7"/>
    <w:qFormat/>
    <w:uiPriority w:val="0"/>
    <w:rPr>
      <w:vertAlign w:val="superscript"/>
    </w:rPr>
  </w:style>
  <w:style w:type="character" w:customStyle="1" w:styleId="9">
    <w:name w:val="Нет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718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2025-03-08T13:07:00Z</dcterms:created>
  <dc:creator>uhong</dc:creator>
  <cp:lastModifiedBy>uhong</cp:lastModifiedBy>
  <dcterms:modified xsi:type="dcterms:W3CDTF">2025-03-09T01:21:38Z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218316E6406D8DD8DB16CC67589AB699_41</vt:lpwstr>
  </property>
</Properties>
</file>