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CEF2" w14:textId="4E0FB696" w:rsidR="00EA2497" w:rsidRPr="006A540F" w:rsidRDefault="00BF1A14" w:rsidP="006A540F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</w:rPr>
        <w:t>Устные предания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о святой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Pr="006A540F">
        <w:rPr>
          <w:rFonts w:ascii="Times New Roman" w:hAnsi="Times New Roman" w:cs="Times New Roman"/>
          <w:sz w:val="24"/>
          <w:szCs w:val="24"/>
        </w:rPr>
        <w:t xml:space="preserve">кле </w:t>
      </w:r>
      <w:r w:rsidR="002E535C" w:rsidRPr="006A540F">
        <w:rPr>
          <w:rFonts w:ascii="Times New Roman" w:hAnsi="Times New Roman" w:cs="Times New Roman"/>
          <w:sz w:val="24"/>
          <w:szCs w:val="24"/>
        </w:rPr>
        <w:t>на современном арамейском языке деревни Маалула в сравнении с рукописной традицией</w:t>
      </w:r>
    </w:p>
    <w:p w14:paraId="029406E9" w14:textId="59C160C5" w:rsidR="006A540F" w:rsidRPr="006A540F" w:rsidRDefault="006A540F" w:rsidP="006A540F">
      <w:pPr>
        <w:jc w:val="right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Николай Гришин</w:t>
      </w:r>
      <w:r w:rsidRPr="006A540F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6A540F">
          <w:rPr>
            <w:rStyle w:val="af3"/>
            <w:rFonts w:ascii="Times New Roman" w:hAnsi="Times New Roman" w:cs="Times New Roman"/>
            <w:sz w:val="24"/>
            <w:szCs w:val="24"/>
            <w:lang w:val="en-GB"/>
          </w:rPr>
          <w:t>grishnikola</w:t>
        </w:r>
        <w:r w:rsidRPr="006A540F">
          <w:rPr>
            <w:rStyle w:val="af3"/>
            <w:rFonts w:ascii="Times New Roman" w:hAnsi="Times New Roman" w:cs="Times New Roman"/>
            <w:sz w:val="24"/>
            <w:szCs w:val="24"/>
            <w:rtl/>
            <w:lang w:val="en-GB" w:bidi="he-IL"/>
          </w:rPr>
          <w:t>@</w:t>
        </w:r>
        <w:r w:rsidRPr="006A540F">
          <w:rPr>
            <w:rStyle w:val="af3"/>
            <w:rFonts w:ascii="Times New Roman" w:hAnsi="Times New Roman" w:cs="Times New Roman"/>
            <w:sz w:val="24"/>
            <w:szCs w:val="24"/>
            <w:lang w:val="en-GB" w:bidi="he-IL"/>
          </w:rPr>
          <w:t>mail.ru</w:t>
        </w:r>
      </w:hyperlink>
      <w:r w:rsidRPr="006A540F">
        <w:rPr>
          <w:rFonts w:ascii="Times New Roman" w:hAnsi="Times New Roman" w:cs="Times New Roman"/>
          <w:sz w:val="24"/>
          <w:szCs w:val="24"/>
          <w:lang w:val="en-GB" w:bidi="he-IL"/>
        </w:rPr>
        <w:br/>
      </w:r>
      <w:r w:rsidRPr="006A540F">
        <w:rPr>
          <w:rFonts w:ascii="Times New Roman" w:hAnsi="Times New Roman" w:cs="Times New Roman"/>
          <w:sz w:val="24"/>
          <w:szCs w:val="24"/>
        </w:rPr>
        <w:br/>
        <w:t>Анна Бромирская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br/>
      </w:r>
      <w:hyperlink r:id="rId9" w:history="1">
        <w:r w:rsidR="00C15647">
          <w:rPr>
            <w:rStyle w:val="af3"/>
            <w:rFonts w:ascii="Times New Roman" w:hAnsi="Times New Roman" w:cs="Times New Roman"/>
            <w:sz w:val="24"/>
            <w:szCs w:val="24"/>
            <w:lang w:val="en-GB"/>
          </w:rPr>
          <w:t>asbromirskaya@edu.hse.ru</w:t>
        </w:r>
      </w:hyperlink>
      <w:r w:rsidRPr="006A540F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6A540F">
        <w:rPr>
          <w:rFonts w:ascii="Times New Roman" w:hAnsi="Times New Roman" w:cs="Times New Roman"/>
          <w:sz w:val="24"/>
          <w:szCs w:val="24"/>
        </w:rPr>
        <w:t xml:space="preserve">НИУ ВШЭ Москва, </w:t>
      </w:r>
      <w:r w:rsidRPr="006A540F">
        <w:rPr>
          <w:rFonts w:ascii="Times New Roman" w:hAnsi="Times New Roman" w:cs="Times New Roman"/>
          <w:sz w:val="24"/>
          <w:szCs w:val="24"/>
        </w:rPr>
        <w:br/>
        <w:t xml:space="preserve">Факультет гуманитарных наук, </w:t>
      </w:r>
      <w:r w:rsidRPr="006A540F">
        <w:rPr>
          <w:rFonts w:ascii="Times New Roman" w:hAnsi="Times New Roman" w:cs="Times New Roman"/>
          <w:sz w:val="24"/>
          <w:szCs w:val="24"/>
        </w:rPr>
        <w:br/>
        <w:t xml:space="preserve">Институт классического </w:t>
      </w:r>
      <w:r w:rsidR="000C7FB7">
        <w:rPr>
          <w:rFonts w:ascii="Times New Roman" w:hAnsi="Times New Roman" w:cs="Times New Roman"/>
          <w:sz w:val="24"/>
          <w:szCs w:val="24"/>
        </w:rPr>
        <w:t>В</w:t>
      </w:r>
      <w:r w:rsidRPr="006A540F">
        <w:rPr>
          <w:rFonts w:ascii="Times New Roman" w:hAnsi="Times New Roman" w:cs="Times New Roman"/>
          <w:sz w:val="24"/>
          <w:szCs w:val="24"/>
        </w:rPr>
        <w:t>остока и античности</w:t>
      </w:r>
    </w:p>
    <w:p w14:paraId="1811EC33" w14:textId="77777777" w:rsidR="006A540F" w:rsidRPr="006A540F" w:rsidRDefault="006A540F" w:rsidP="006A54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4E2A6" w14:textId="434B91D6" w:rsidR="007B51AE" w:rsidRPr="006A540F" w:rsidRDefault="00BF1A14" w:rsidP="00833C0A">
      <w:pPr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ab/>
        <w:t>Маалула – деревня в 60 километрах от Дамаска</w:t>
      </w:r>
      <w:r w:rsidR="009B1315">
        <w:rPr>
          <w:rFonts w:ascii="Times New Roman" w:hAnsi="Times New Roman" w:cs="Times New Roman"/>
          <w:sz w:val="24"/>
          <w:szCs w:val="24"/>
        </w:rPr>
        <w:t xml:space="preserve"> в нагорье Каламун</w:t>
      </w:r>
      <w:r w:rsidRPr="006A540F">
        <w:rPr>
          <w:rFonts w:ascii="Times New Roman" w:hAnsi="Times New Roman" w:cs="Times New Roman"/>
          <w:sz w:val="24"/>
          <w:szCs w:val="24"/>
        </w:rPr>
        <w:t xml:space="preserve">, жители которой до сегодняшнего дня говорят на </w:t>
      </w:r>
      <w:r w:rsidR="007B51AE" w:rsidRPr="006A540F">
        <w:rPr>
          <w:rFonts w:ascii="Times New Roman" w:hAnsi="Times New Roman" w:cs="Times New Roman"/>
          <w:sz w:val="24"/>
          <w:szCs w:val="24"/>
        </w:rPr>
        <w:t xml:space="preserve">бесписьменном </w:t>
      </w:r>
      <w:r w:rsidRPr="006A540F">
        <w:rPr>
          <w:rFonts w:ascii="Times New Roman" w:hAnsi="Times New Roman" w:cs="Times New Roman"/>
          <w:sz w:val="24"/>
          <w:szCs w:val="24"/>
        </w:rPr>
        <w:t>современном арамейском языке. В Маалуле смешанное население – в деревне живут православные христиане Антиохийского патриархата, греко-католики униаты и мусульмане сун</w:t>
      </w:r>
      <w:r w:rsidR="002E535C" w:rsidRPr="006A540F">
        <w:rPr>
          <w:rFonts w:ascii="Times New Roman" w:hAnsi="Times New Roman" w:cs="Times New Roman"/>
          <w:sz w:val="24"/>
          <w:szCs w:val="24"/>
        </w:rPr>
        <w:t>ниты</w:t>
      </w:r>
      <w:r w:rsidR="005C019E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6A540F">
        <w:rPr>
          <w:rFonts w:ascii="Times New Roman" w:hAnsi="Times New Roman" w:cs="Times New Roman"/>
          <w:sz w:val="24"/>
          <w:szCs w:val="24"/>
        </w:rPr>
        <w:t>. Население двух соседних</w:t>
      </w:r>
      <w:r w:rsidR="007B51AE" w:rsidRPr="006A540F">
        <w:rPr>
          <w:rFonts w:ascii="Times New Roman" w:hAnsi="Times New Roman" w:cs="Times New Roman"/>
          <w:sz w:val="24"/>
          <w:szCs w:val="24"/>
        </w:rPr>
        <w:t xml:space="preserve"> арамеоязычных</w:t>
      </w:r>
      <w:r w:rsidRPr="006A540F">
        <w:rPr>
          <w:rFonts w:ascii="Times New Roman" w:hAnsi="Times New Roman" w:cs="Times New Roman"/>
          <w:sz w:val="24"/>
          <w:szCs w:val="24"/>
        </w:rPr>
        <w:t xml:space="preserve"> деревень, Джуббадина и Бахи (разрушена в ходе гражданской войны в Сирии)</w:t>
      </w:r>
      <w:r w:rsidR="007B51AE" w:rsidRPr="006A540F">
        <w:rPr>
          <w:rFonts w:ascii="Times New Roman" w:hAnsi="Times New Roman" w:cs="Times New Roman"/>
          <w:sz w:val="24"/>
          <w:szCs w:val="24"/>
        </w:rPr>
        <w:t>, сост</w:t>
      </w:r>
      <w:r w:rsidR="00833C0A">
        <w:rPr>
          <w:rFonts w:ascii="Times New Roman" w:hAnsi="Times New Roman" w:cs="Times New Roman"/>
          <w:sz w:val="24"/>
          <w:szCs w:val="24"/>
        </w:rPr>
        <w:t>а</w:t>
      </w:r>
      <w:r w:rsidR="007B51AE" w:rsidRPr="006A540F">
        <w:rPr>
          <w:rFonts w:ascii="Times New Roman" w:hAnsi="Times New Roman" w:cs="Times New Roman"/>
          <w:sz w:val="24"/>
          <w:szCs w:val="24"/>
        </w:rPr>
        <w:t>вляют</w:t>
      </w:r>
      <w:r w:rsidRPr="006A540F">
        <w:rPr>
          <w:rFonts w:ascii="Times New Roman" w:hAnsi="Times New Roman" w:cs="Times New Roman"/>
          <w:sz w:val="24"/>
          <w:szCs w:val="24"/>
        </w:rPr>
        <w:t xml:space="preserve"> только мусульмане</w:t>
      </w:r>
      <w:r w:rsidR="007B51AE" w:rsidRPr="006A5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E59DF" w14:textId="3DDA64AD" w:rsidR="00BF1A14" w:rsidRPr="006A540F" w:rsidRDefault="007B51AE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 xml:space="preserve">Язык этих трех деревень, современный западный арамейский (СЗА), находится под угрозой исчезновения. Во второй половине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="000C7FB7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европейские уч</w:t>
      </w:r>
      <w:r w:rsidR="00F923BE">
        <w:rPr>
          <w:rFonts w:ascii="Times New Roman" w:hAnsi="Times New Roman" w:cs="Times New Roman"/>
          <w:sz w:val="24"/>
          <w:szCs w:val="24"/>
        </w:rPr>
        <w:t>ё</w:t>
      </w:r>
      <w:r w:rsidRPr="006A540F">
        <w:rPr>
          <w:rFonts w:ascii="Times New Roman" w:hAnsi="Times New Roman" w:cs="Times New Roman"/>
          <w:sz w:val="24"/>
          <w:szCs w:val="24"/>
        </w:rPr>
        <w:t>ные начинают работу над документацией языка</w:t>
      </w:r>
      <w:r w:rsidR="00DB0DD9">
        <w:rPr>
          <w:rFonts w:ascii="Times New Roman" w:hAnsi="Times New Roman" w:cs="Times New Roman"/>
          <w:sz w:val="24"/>
          <w:szCs w:val="24"/>
        </w:rPr>
        <w:t xml:space="preserve"> и </w:t>
      </w:r>
      <w:r w:rsidRPr="006A540F">
        <w:rPr>
          <w:rFonts w:ascii="Times New Roman" w:hAnsi="Times New Roman" w:cs="Times New Roman"/>
          <w:sz w:val="24"/>
          <w:szCs w:val="24"/>
        </w:rPr>
        <w:t>записыва</w:t>
      </w:r>
      <w:r w:rsidR="00DB0DD9">
        <w:rPr>
          <w:rFonts w:ascii="Times New Roman" w:hAnsi="Times New Roman" w:cs="Times New Roman"/>
          <w:sz w:val="24"/>
          <w:szCs w:val="24"/>
        </w:rPr>
        <w:t>ют</w:t>
      </w:r>
      <w:r w:rsidRPr="006A540F">
        <w:rPr>
          <w:rFonts w:ascii="Times New Roman" w:hAnsi="Times New Roman" w:cs="Times New Roman"/>
          <w:sz w:val="24"/>
          <w:szCs w:val="24"/>
        </w:rPr>
        <w:t xml:space="preserve"> устные рассказы жителей деревни</w:t>
      </w:r>
      <w:r w:rsidR="000C7FB7">
        <w:rPr>
          <w:rFonts w:ascii="Times New Roman" w:hAnsi="Times New Roman" w:cs="Times New Roman"/>
          <w:sz w:val="24"/>
          <w:szCs w:val="24"/>
        </w:rPr>
        <w:t>, используя</w:t>
      </w:r>
      <w:r w:rsidR="00DE745C" w:rsidRPr="006A540F">
        <w:rPr>
          <w:rFonts w:ascii="Times New Roman" w:hAnsi="Times New Roman" w:cs="Times New Roman"/>
          <w:sz w:val="24"/>
          <w:szCs w:val="24"/>
        </w:rPr>
        <w:t xml:space="preserve"> фонетическ</w:t>
      </w:r>
      <w:r w:rsidR="000C7FB7">
        <w:rPr>
          <w:rFonts w:ascii="Times New Roman" w:hAnsi="Times New Roman" w:cs="Times New Roman"/>
          <w:sz w:val="24"/>
          <w:szCs w:val="24"/>
        </w:rPr>
        <w:t>ую</w:t>
      </w:r>
      <w:r w:rsidR="00DE745C" w:rsidRPr="006A540F">
        <w:rPr>
          <w:rFonts w:ascii="Times New Roman" w:hAnsi="Times New Roman" w:cs="Times New Roman"/>
          <w:sz w:val="24"/>
          <w:szCs w:val="24"/>
        </w:rPr>
        <w:t xml:space="preserve"> транскрипци</w:t>
      </w:r>
      <w:r w:rsidR="000C7FB7">
        <w:rPr>
          <w:rFonts w:ascii="Times New Roman" w:hAnsi="Times New Roman" w:cs="Times New Roman"/>
          <w:sz w:val="24"/>
          <w:szCs w:val="24"/>
        </w:rPr>
        <w:t>ю</w:t>
      </w:r>
      <w:r w:rsidR="00DE745C" w:rsidRPr="006A540F">
        <w:rPr>
          <w:rFonts w:ascii="Times New Roman" w:hAnsi="Times New Roman" w:cs="Times New Roman"/>
          <w:sz w:val="24"/>
          <w:szCs w:val="24"/>
        </w:rPr>
        <w:t xml:space="preserve"> на основе латиницы</w:t>
      </w:r>
      <w:r w:rsidR="005C019E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5C019E" w:rsidRPr="006A540F">
        <w:rPr>
          <w:rFonts w:ascii="Times New Roman" w:hAnsi="Times New Roman" w:cs="Times New Roman"/>
          <w:sz w:val="24"/>
          <w:szCs w:val="24"/>
        </w:rPr>
        <w:t xml:space="preserve">см. </w:t>
      </w:r>
      <w:r w:rsidR="00935F8E" w:rsidRPr="006A540F">
        <w:rPr>
          <w:rFonts w:ascii="Times New Roman" w:hAnsi="Times New Roman" w:cs="Times New Roman"/>
          <w:sz w:val="24"/>
          <w:szCs w:val="24"/>
        </w:rPr>
        <w:t xml:space="preserve">Bergsträsser, 1915; </w:t>
      </w:r>
      <w:r w:rsidR="00935F8E" w:rsidRPr="006A540F">
        <w:rPr>
          <w:rFonts w:ascii="Times New Roman" w:hAnsi="Times New Roman" w:cs="Times New Roman"/>
          <w:sz w:val="24"/>
          <w:szCs w:val="24"/>
          <w:lang w:val="en-GB"/>
        </w:rPr>
        <w:t>Parisot, 1898</w:t>
      </w:r>
      <w:r w:rsidR="00935F8E" w:rsidRPr="006A540F">
        <w:rPr>
          <w:rFonts w:ascii="Times New Roman" w:hAnsi="Times New Roman" w:cs="Times New Roman"/>
          <w:sz w:val="24"/>
          <w:szCs w:val="24"/>
        </w:rPr>
        <w:t xml:space="preserve"> и др</w:t>
      </w:r>
      <w:r w:rsidR="00935F8E" w:rsidRPr="006A540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E745C" w:rsidRPr="006A540F">
        <w:rPr>
          <w:rFonts w:ascii="Times New Roman" w:hAnsi="Times New Roman" w:cs="Times New Roman"/>
          <w:sz w:val="24"/>
          <w:szCs w:val="24"/>
        </w:rPr>
        <w:t xml:space="preserve">. </w:t>
      </w:r>
      <w:r w:rsidR="002E535C" w:rsidRPr="006A540F">
        <w:rPr>
          <w:rFonts w:ascii="Times New Roman" w:hAnsi="Times New Roman" w:cs="Times New Roman"/>
          <w:sz w:val="24"/>
          <w:szCs w:val="24"/>
        </w:rPr>
        <w:t>Среди прочего, жители рассказывали о жизни святой равноапостольной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клы, которая, по местному преданию, скрылась от гонителей в местных пещерах. Нам доступны по крайней мере </w:t>
      </w:r>
      <w:r w:rsidR="00935F8E" w:rsidRPr="006A540F">
        <w:rPr>
          <w:rFonts w:ascii="Times New Roman" w:hAnsi="Times New Roman" w:cs="Times New Roman"/>
          <w:sz w:val="24"/>
          <w:szCs w:val="24"/>
        </w:rPr>
        <w:t xml:space="preserve">три </w:t>
      </w:r>
      <w:r w:rsidR="007D2337">
        <w:rPr>
          <w:rFonts w:ascii="Times New Roman" w:hAnsi="Times New Roman" w:cs="Times New Roman"/>
          <w:sz w:val="24"/>
          <w:szCs w:val="24"/>
        </w:rPr>
        <w:t>варианта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этого рассказа: </w:t>
      </w:r>
      <w:r w:rsidR="00935F8E" w:rsidRPr="006A540F">
        <w:rPr>
          <w:rFonts w:ascii="Times New Roman" w:hAnsi="Times New Roman" w:cs="Times New Roman"/>
          <w:sz w:val="24"/>
          <w:szCs w:val="24"/>
        </w:rPr>
        <w:t>два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записан</w:t>
      </w:r>
      <w:r w:rsidR="00935F8E" w:rsidRPr="006A540F">
        <w:rPr>
          <w:rFonts w:ascii="Times New Roman" w:hAnsi="Times New Roman" w:cs="Times New Roman"/>
          <w:sz w:val="24"/>
          <w:szCs w:val="24"/>
        </w:rPr>
        <w:t>ы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в 198</w:t>
      </w:r>
      <w:r w:rsidR="002A3336" w:rsidRPr="006A540F">
        <w:rPr>
          <w:rFonts w:ascii="Times New Roman" w:hAnsi="Times New Roman" w:cs="Times New Roman"/>
          <w:sz w:val="24"/>
          <w:szCs w:val="24"/>
        </w:rPr>
        <w:t>5-1987</w:t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 г</w:t>
      </w:r>
      <w:r w:rsidR="002A3336" w:rsidRPr="006A540F">
        <w:rPr>
          <w:rFonts w:ascii="Times New Roman" w:hAnsi="Times New Roman" w:cs="Times New Roman"/>
          <w:sz w:val="24"/>
          <w:szCs w:val="24"/>
        </w:rPr>
        <w:t xml:space="preserve">г. </w:t>
      </w:r>
      <w:r w:rsidR="002E535C" w:rsidRPr="006A540F">
        <w:rPr>
          <w:rFonts w:ascii="Times New Roman" w:hAnsi="Times New Roman" w:cs="Times New Roman"/>
          <w:sz w:val="24"/>
          <w:szCs w:val="24"/>
        </w:rPr>
        <w:t>Вернером Арнольдом</w:t>
      </w:r>
      <w:r w:rsidR="00517CB0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="002E535C" w:rsidRPr="006A540F">
        <w:rPr>
          <w:rFonts w:ascii="Times New Roman" w:hAnsi="Times New Roman" w:cs="Times New Roman"/>
          <w:sz w:val="24"/>
          <w:szCs w:val="24"/>
        </w:rPr>
        <w:t xml:space="preserve">, </w:t>
      </w:r>
      <w:r w:rsidR="001F7DCC">
        <w:rPr>
          <w:rFonts w:ascii="Times New Roman" w:hAnsi="Times New Roman" w:cs="Times New Roman"/>
          <w:sz w:val="24"/>
          <w:szCs w:val="24"/>
        </w:rPr>
        <w:t>третий</w:t>
      </w:r>
      <w:r w:rsidR="002A3336" w:rsidRPr="006A540F">
        <w:rPr>
          <w:rFonts w:ascii="Times New Roman" w:hAnsi="Times New Roman" w:cs="Times New Roman"/>
          <w:sz w:val="24"/>
          <w:szCs w:val="24"/>
        </w:rPr>
        <w:t xml:space="preserve"> – в декабре 2020 Сергеем Лёзовым и Алексеем Дунцовым</w:t>
      </w:r>
      <w:r w:rsidR="00517CB0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="002A3336" w:rsidRPr="006A540F">
        <w:rPr>
          <w:rFonts w:ascii="Times New Roman" w:hAnsi="Times New Roman" w:cs="Times New Roman"/>
          <w:sz w:val="24"/>
          <w:szCs w:val="24"/>
        </w:rPr>
        <w:t>.</w:t>
      </w:r>
    </w:p>
    <w:p w14:paraId="62EED648" w14:textId="57869F3F" w:rsidR="007B34EA" w:rsidRPr="006A540F" w:rsidRDefault="002A3336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Почитание св.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Pr="006A540F">
        <w:rPr>
          <w:rFonts w:ascii="Times New Roman" w:hAnsi="Times New Roman" w:cs="Times New Roman"/>
          <w:sz w:val="24"/>
          <w:szCs w:val="24"/>
        </w:rPr>
        <w:t>клы в Маалуле</w:t>
      </w:r>
      <w:r w:rsidR="007B34EA" w:rsidRPr="006A540F">
        <w:rPr>
          <w:rFonts w:ascii="Times New Roman" w:hAnsi="Times New Roman" w:cs="Times New Roman"/>
          <w:sz w:val="24"/>
          <w:szCs w:val="24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распространено среди жителей деревни</w:t>
      </w:r>
      <w:r w:rsidR="0030153E" w:rsidRPr="006A540F">
        <w:rPr>
          <w:rFonts w:ascii="Times New Roman" w:hAnsi="Times New Roman" w:cs="Times New Roman"/>
          <w:sz w:val="24"/>
          <w:szCs w:val="24"/>
        </w:rPr>
        <w:t>: н</w:t>
      </w:r>
      <w:r w:rsidRPr="006A540F">
        <w:rPr>
          <w:rFonts w:ascii="Times New Roman" w:hAnsi="Times New Roman" w:cs="Times New Roman"/>
          <w:sz w:val="24"/>
          <w:szCs w:val="24"/>
        </w:rPr>
        <w:t xml:space="preserve">а востоке поселения расположен </w:t>
      </w:r>
      <w:r w:rsidR="0030153E" w:rsidRPr="006A540F">
        <w:rPr>
          <w:rFonts w:ascii="Times New Roman" w:hAnsi="Times New Roman" w:cs="Times New Roman"/>
          <w:sz w:val="24"/>
          <w:szCs w:val="24"/>
        </w:rPr>
        <w:t>православный женский монастырь с небольшой часовней, в которой хранятся мощи святой; многи</w:t>
      </w:r>
      <w:r w:rsidR="009A4E36">
        <w:rPr>
          <w:rFonts w:ascii="Times New Roman" w:hAnsi="Times New Roman" w:cs="Times New Roman"/>
          <w:sz w:val="24"/>
          <w:szCs w:val="24"/>
        </w:rPr>
        <w:t>м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 девушк</w:t>
      </w:r>
      <w:r w:rsidR="009A4E36">
        <w:rPr>
          <w:rFonts w:ascii="Times New Roman" w:hAnsi="Times New Roman" w:cs="Times New Roman"/>
          <w:sz w:val="24"/>
          <w:szCs w:val="24"/>
        </w:rPr>
        <w:t>ам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 в деревне </w:t>
      </w:r>
      <w:r w:rsidR="00AB4288">
        <w:rPr>
          <w:rFonts w:ascii="Times New Roman" w:hAnsi="Times New Roman" w:cs="Times New Roman"/>
          <w:sz w:val="24"/>
          <w:szCs w:val="24"/>
        </w:rPr>
        <w:t>при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 крещении </w:t>
      </w:r>
      <w:r w:rsidR="009A4E36">
        <w:rPr>
          <w:rFonts w:ascii="Times New Roman" w:hAnsi="Times New Roman" w:cs="Times New Roman"/>
          <w:sz w:val="24"/>
          <w:szCs w:val="24"/>
        </w:rPr>
        <w:t>да</w:t>
      </w:r>
      <w:r w:rsidR="005553D2">
        <w:rPr>
          <w:rFonts w:ascii="Times New Roman" w:hAnsi="Times New Roman" w:cs="Times New Roman"/>
          <w:sz w:val="24"/>
          <w:szCs w:val="24"/>
        </w:rPr>
        <w:t>ётся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 имя святой (</w:t>
      </w:r>
      <w:r w:rsidR="0030153E" w:rsidRPr="006A540F">
        <w:rPr>
          <w:rFonts w:ascii="Times New Roman" w:hAnsi="Times New Roman" w:cs="Times New Roman"/>
          <w:i/>
          <w:iCs/>
          <w:sz w:val="24"/>
          <w:szCs w:val="24"/>
          <w:lang w:val="en-GB"/>
        </w:rPr>
        <w:t>Čakla</w:t>
      </w:r>
      <w:r w:rsidR="0030153E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на СЗА, </w:t>
      </w:r>
      <w:r w:rsidR="0030153E" w:rsidRPr="006A540F">
        <w:rPr>
          <w:rFonts w:ascii="Times New Roman" w:hAnsi="Times New Roman" w:cs="Times New Roman"/>
          <w:i/>
          <w:iCs/>
          <w:sz w:val="24"/>
          <w:szCs w:val="24"/>
          <w:lang w:val="en-GB"/>
        </w:rPr>
        <w:t>Taʔla</w:t>
      </w:r>
      <w:r w:rsidR="0030153E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на местном диалекте арабского); память </w:t>
      </w:r>
      <w:r w:rsidR="007B34EA" w:rsidRPr="006A540F">
        <w:rPr>
          <w:rFonts w:ascii="Times New Roman" w:hAnsi="Times New Roman" w:cs="Times New Roman"/>
          <w:sz w:val="24"/>
          <w:szCs w:val="24"/>
        </w:rPr>
        <w:t>равноапостольной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7B34EA" w:rsidRPr="006A540F">
        <w:rPr>
          <w:rFonts w:ascii="Times New Roman" w:hAnsi="Times New Roman" w:cs="Times New Roman"/>
          <w:sz w:val="24"/>
          <w:szCs w:val="24"/>
        </w:rPr>
        <w:t xml:space="preserve">клы широко </w:t>
      </w:r>
      <w:r w:rsidR="009F5BD6">
        <w:rPr>
          <w:rFonts w:ascii="Times New Roman" w:hAnsi="Times New Roman" w:cs="Times New Roman"/>
          <w:sz w:val="24"/>
          <w:szCs w:val="24"/>
        </w:rPr>
        <w:t>отмечается</w:t>
      </w:r>
      <w:r w:rsidR="0030153E" w:rsidRPr="006A540F">
        <w:rPr>
          <w:rFonts w:ascii="Times New Roman" w:hAnsi="Times New Roman" w:cs="Times New Roman"/>
          <w:sz w:val="24"/>
          <w:szCs w:val="24"/>
        </w:rPr>
        <w:t xml:space="preserve"> как католической, так и православной общиной </w:t>
      </w:r>
      <w:r w:rsidR="007B34EA" w:rsidRPr="006A540F">
        <w:rPr>
          <w:rFonts w:ascii="Times New Roman" w:hAnsi="Times New Roman" w:cs="Times New Roman"/>
          <w:sz w:val="24"/>
          <w:szCs w:val="24"/>
        </w:rPr>
        <w:t>23-ого сентября, в деревню съезжаются паломники из Сирии, Ливана и других стран</w:t>
      </w:r>
      <w:r w:rsidR="00517CB0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="007B34EA" w:rsidRPr="006A5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12535" w14:textId="4C1C5392" w:rsidR="005C019E" w:rsidRPr="006A540F" w:rsidRDefault="007B34EA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Рядом с монастырем находится ущелье, с которым связываются уже упомянутые предания о бегстве святой: по молитве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Pr="006A540F">
        <w:rPr>
          <w:rFonts w:ascii="Times New Roman" w:hAnsi="Times New Roman" w:cs="Times New Roman"/>
          <w:sz w:val="24"/>
          <w:szCs w:val="24"/>
        </w:rPr>
        <w:t xml:space="preserve">клы гора расступилась, и святая смогла скрыться от гонителей. </w:t>
      </w:r>
      <w:r w:rsidR="00634955" w:rsidRPr="006A540F">
        <w:rPr>
          <w:rFonts w:ascii="Times New Roman" w:hAnsi="Times New Roman" w:cs="Times New Roman"/>
          <w:sz w:val="24"/>
          <w:szCs w:val="24"/>
        </w:rPr>
        <w:t xml:space="preserve">Этот эпизод встречается и в рукописной традиции христианского востока: в части греческих манускриптов в составе </w:t>
      </w:r>
      <w:r w:rsidR="00634955" w:rsidRPr="00F945A0">
        <w:rPr>
          <w:rFonts w:ascii="Times New Roman" w:hAnsi="Times New Roman" w:cs="Times New Roman"/>
          <w:sz w:val="24"/>
          <w:szCs w:val="24"/>
        </w:rPr>
        <w:t>Деяний Павла и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634955" w:rsidRPr="00F945A0">
        <w:rPr>
          <w:rFonts w:ascii="Times New Roman" w:hAnsi="Times New Roman" w:cs="Times New Roman"/>
          <w:sz w:val="24"/>
          <w:szCs w:val="24"/>
        </w:rPr>
        <w:t>клы</w:t>
      </w:r>
      <w:r w:rsidR="00BF00CA" w:rsidRPr="006A540F">
        <w:rPr>
          <w:rFonts w:ascii="Times New Roman" w:hAnsi="Times New Roman" w:cs="Times New Roman"/>
          <w:sz w:val="24"/>
          <w:szCs w:val="24"/>
        </w:rPr>
        <w:t xml:space="preserve"> </w:t>
      </w:r>
      <w:r w:rsidR="00634955" w:rsidRPr="006A540F">
        <w:rPr>
          <w:rFonts w:ascii="Times New Roman" w:hAnsi="Times New Roman" w:cs="Times New Roman"/>
          <w:sz w:val="24"/>
          <w:szCs w:val="24"/>
        </w:rPr>
        <w:t xml:space="preserve">и </w:t>
      </w:r>
      <w:r w:rsidR="00BF00CA" w:rsidRPr="00F945A0">
        <w:rPr>
          <w:rFonts w:ascii="Times New Roman" w:hAnsi="Times New Roman" w:cs="Times New Roman"/>
          <w:sz w:val="24"/>
          <w:szCs w:val="24"/>
        </w:rPr>
        <w:t>Добродетельных деяний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BF00CA" w:rsidRPr="00F945A0">
        <w:rPr>
          <w:rFonts w:ascii="Times New Roman" w:hAnsi="Times New Roman" w:cs="Times New Roman"/>
          <w:sz w:val="24"/>
          <w:szCs w:val="24"/>
        </w:rPr>
        <w:t>клы</w:t>
      </w:r>
      <w:r w:rsidR="00BC61E1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  <w:r w:rsidR="009F5BD6">
        <w:rPr>
          <w:rFonts w:ascii="Times New Roman" w:hAnsi="Times New Roman" w:cs="Times New Roman"/>
          <w:sz w:val="24"/>
          <w:szCs w:val="24"/>
        </w:rPr>
        <w:t>.</w:t>
      </w:r>
      <w:r w:rsidR="00BF00CA" w:rsidRPr="006A540F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C019E" w:rsidRPr="006A540F">
        <w:rPr>
          <w:rFonts w:ascii="Times New Roman" w:hAnsi="Times New Roman" w:cs="Times New Roman"/>
          <w:sz w:val="24"/>
          <w:szCs w:val="24"/>
          <w:lang w:val="en-GB"/>
        </w:rPr>
        <w:t>M.</w:t>
      </w:r>
      <w:r w:rsidR="005C019E" w:rsidRPr="006A540F">
        <w:rPr>
          <w:rFonts w:ascii="Times New Roman" w:hAnsi="Times New Roman" w:cs="Times New Roman"/>
          <w:sz w:val="24"/>
          <w:szCs w:val="24"/>
        </w:rPr>
        <w:t>Р. Джеймсу</w:t>
      </w:r>
      <w:r w:rsidR="00BF00CA" w:rsidRPr="006A540F">
        <w:rPr>
          <w:rFonts w:ascii="Times New Roman" w:hAnsi="Times New Roman" w:cs="Times New Roman"/>
          <w:sz w:val="24"/>
          <w:szCs w:val="24"/>
        </w:rPr>
        <w:t xml:space="preserve">, </w:t>
      </w:r>
      <w:r w:rsidR="00253266" w:rsidRPr="006A540F">
        <w:rPr>
          <w:rFonts w:ascii="Times New Roman" w:hAnsi="Times New Roman" w:cs="Times New Roman"/>
          <w:sz w:val="24"/>
          <w:szCs w:val="24"/>
        </w:rPr>
        <w:t>автору одного из переводов Деяний Павла и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253266" w:rsidRPr="006A540F">
        <w:rPr>
          <w:rFonts w:ascii="Times New Roman" w:hAnsi="Times New Roman" w:cs="Times New Roman"/>
          <w:sz w:val="24"/>
          <w:szCs w:val="24"/>
        </w:rPr>
        <w:t>кл</w:t>
      </w:r>
      <w:r w:rsidR="007B3290">
        <w:rPr>
          <w:rFonts w:ascii="Times New Roman" w:hAnsi="Times New Roman" w:cs="Times New Roman"/>
          <w:sz w:val="24"/>
          <w:szCs w:val="24"/>
        </w:rPr>
        <w:t>ы</w:t>
      </w:r>
      <w:r w:rsidR="00253266" w:rsidRPr="006A540F">
        <w:rPr>
          <w:rFonts w:ascii="Times New Roman" w:hAnsi="Times New Roman" w:cs="Times New Roman"/>
          <w:sz w:val="24"/>
          <w:szCs w:val="24"/>
        </w:rPr>
        <w:t xml:space="preserve">, </w:t>
      </w:r>
      <w:r w:rsidR="00253266" w:rsidRPr="006A540F">
        <w:rPr>
          <w:rFonts w:ascii="Times New Roman" w:hAnsi="Times New Roman" w:cs="Times New Roman"/>
          <w:sz w:val="24"/>
          <w:szCs w:val="24"/>
        </w:rPr>
        <w:lastRenderedPageBreak/>
        <w:t>некоторые рукописи прямо указывают н</w:t>
      </w:r>
      <w:r w:rsidR="000E5BCD">
        <w:rPr>
          <w:rFonts w:ascii="Times New Roman" w:hAnsi="Times New Roman" w:cs="Times New Roman"/>
          <w:sz w:val="24"/>
          <w:szCs w:val="24"/>
        </w:rPr>
        <w:t>а некоторую гору</w:t>
      </w:r>
      <w:r w:rsidR="00253266" w:rsidRPr="006A540F">
        <w:rPr>
          <w:rFonts w:ascii="Times New Roman" w:hAnsi="Times New Roman" w:cs="Times New Roman"/>
          <w:sz w:val="24"/>
          <w:szCs w:val="24"/>
        </w:rPr>
        <w:t xml:space="preserve"> Калам</w:t>
      </w:r>
      <w:r w:rsidR="000E5BCD">
        <w:rPr>
          <w:rFonts w:ascii="Times New Roman" w:hAnsi="Times New Roman" w:cs="Times New Roman"/>
          <w:sz w:val="24"/>
          <w:szCs w:val="24"/>
        </w:rPr>
        <w:t>он (Каламеон)</w:t>
      </w:r>
      <w:r w:rsidR="00253266" w:rsidRPr="006A540F">
        <w:rPr>
          <w:rFonts w:ascii="Times New Roman" w:hAnsi="Times New Roman" w:cs="Times New Roman"/>
          <w:sz w:val="24"/>
          <w:szCs w:val="24"/>
        </w:rPr>
        <w:t xml:space="preserve"> как </w:t>
      </w:r>
      <w:r w:rsidR="007B3290">
        <w:rPr>
          <w:rFonts w:ascii="Times New Roman" w:hAnsi="Times New Roman" w:cs="Times New Roman"/>
          <w:sz w:val="24"/>
          <w:szCs w:val="24"/>
        </w:rPr>
        <w:t xml:space="preserve">на </w:t>
      </w:r>
      <w:r w:rsidR="00253266" w:rsidRPr="006A540F">
        <w:rPr>
          <w:rFonts w:ascii="Times New Roman" w:hAnsi="Times New Roman" w:cs="Times New Roman"/>
          <w:sz w:val="24"/>
          <w:szCs w:val="24"/>
        </w:rPr>
        <w:t>место, где скрылась 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253266" w:rsidRPr="006A540F">
        <w:rPr>
          <w:rFonts w:ascii="Times New Roman" w:hAnsi="Times New Roman" w:cs="Times New Roman"/>
          <w:sz w:val="24"/>
          <w:szCs w:val="24"/>
        </w:rPr>
        <w:t>кла</w:t>
      </w:r>
      <w:r w:rsidR="0056298B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6"/>
      </w:r>
      <w:r w:rsidR="00253266" w:rsidRPr="006A540F">
        <w:rPr>
          <w:rFonts w:ascii="Times New Roman" w:hAnsi="Times New Roman" w:cs="Times New Roman"/>
          <w:sz w:val="24"/>
          <w:szCs w:val="24"/>
        </w:rPr>
        <w:t>.</w:t>
      </w:r>
      <w:r w:rsidR="0056298B" w:rsidRPr="006A5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074ED" w14:textId="3286C6CD" w:rsidR="007B51AE" w:rsidRDefault="005C019E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В рассказах жителей Маалулы встречаются также эпизоды других чудес.</w:t>
      </w:r>
      <w:r w:rsidR="00E34462" w:rsidRPr="006A540F">
        <w:rPr>
          <w:rFonts w:ascii="Times New Roman" w:hAnsi="Times New Roman" w:cs="Times New Roman"/>
          <w:sz w:val="24"/>
          <w:szCs w:val="24"/>
        </w:rPr>
        <w:t xml:space="preserve"> В третьем томе корпуса Арнольда опубликован текст </w:t>
      </w:r>
      <w:r w:rsidR="00E34462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“Das Kloster der heiligen Thekla in </w:t>
      </w:r>
      <w:r w:rsidR="00947A6A" w:rsidRPr="006A540F">
        <w:rPr>
          <w:rFonts w:ascii="Times New Roman" w:hAnsi="Times New Roman" w:cs="Times New Roman"/>
          <w:sz w:val="24"/>
          <w:szCs w:val="24"/>
          <w:lang w:val="en-GB"/>
        </w:rPr>
        <w:t>Maʿlūla</w:t>
      </w:r>
      <w:r w:rsidR="00E34462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r w:rsidR="000B5EF6">
        <w:rPr>
          <w:rFonts w:ascii="Times New Roman" w:hAnsi="Times New Roman" w:cs="Times New Roman"/>
          <w:sz w:val="24"/>
          <w:szCs w:val="24"/>
        </w:rPr>
        <w:t xml:space="preserve">записанный со слов </w:t>
      </w:r>
      <w:r w:rsidR="00E34462" w:rsidRPr="006A540F">
        <w:rPr>
          <w:rFonts w:ascii="Times New Roman" w:hAnsi="Times New Roman" w:cs="Times New Roman"/>
          <w:sz w:val="24"/>
          <w:szCs w:val="24"/>
        </w:rPr>
        <w:t>крестьянин</w:t>
      </w:r>
      <w:r w:rsidR="000B5EF6">
        <w:rPr>
          <w:rFonts w:ascii="Times New Roman" w:hAnsi="Times New Roman" w:cs="Times New Roman"/>
          <w:sz w:val="24"/>
          <w:szCs w:val="24"/>
        </w:rPr>
        <w:t>а</w:t>
      </w:r>
      <w:r w:rsidR="00E34462" w:rsidRPr="006A540F">
        <w:rPr>
          <w:rFonts w:ascii="Times New Roman" w:hAnsi="Times New Roman" w:cs="Times New Roman"/>
          <w:sz w:val="24"/>
          <w:szCs w:val="24"/>
        </w:rPr>
        <w:t xml:space="preserve"> Ḏē</w:t>
      </w:r>
      <w:r w:rsidR="00E34462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ba Čažra. </w:t>
      </w:r>
      <w:r w:rsidR="000B5EF6">
        <w:rPr>
          <w:rFonts w:ascii="Times New Roman" w:hAnsi="Times New Roman" w:cs="Times New Roman"/>
          <w:sz w:val="24"/>
          <w:szCs w:val="24"/>
        </w:rPr>
        <w:t>Согласно этому рассказу</w:t>
      </w:r>
      <w:r w:rsidR="00E34462" w:rsidRPr="006A540F">
        <w:rPr>
          <w:rFonts w:ascii="Times New Roman" w:hAnsi="Times New Roman" w:cs="Times New Roman"/>
          <w:sz w:val="24"/>
          <w:szCs w:val="24"/>
        </w:rPr>
        <w:t>, с</w:t>
      </w:r>
      <w:r w:rsidRPr="006A540F">
        <w:rPr>
          <w:rFonts w:ascii="Times New Roman" w:hAnsi="Times New Roman" w:cs="Times New Roman"/>
          <w:sz w:val="24"/>
          <w:szCs w:val="24"/>
        </w:rPr>
        <w:t xml:space="preserve">пасаясь бегством, </w:t>
      </w:r>
      <w:r w:rsidR="00E34462" w:rsidRPr="006A540F">
        <w:rPr>
          <w:rFonts w:ascii="Times New Roman" w:hAnsi="Times New Roman" w:cs="Times New Roman"/>
          <w:sz w:val="24"/>
          <w:szCs w:val="24"/>
        </w:rPr>
        <w:t>Ф</w:t>
      </w:r>
      <w:r w:rsidR="000B5EF6">
        <w:rPr>
          <w:rFonts w:ascii="Times New Roman" w:hAnsi="Times New Roman" w:cs="Times New Roman"/>
          <w:sz w:val="24"/>
          <w:szCs w:val="24"/>
        </w:rPr>
        <w:t>ё</w:t>
      </w:r>
      <w:r w:rsidR="00E34462" w:rsidRPr="006A540F">
        <w:rPr>
          <w:rFonts w:ascii="Times New Roman" w:hAnsi="Times New Roman" w:cs="Times New Roman"/>
          <w:sz w:val="24"/>
          <w:szCs w:val="24"/>
        </w:rPr>
        <w:t xml:space="preserve">кла </w:t>
      </w:r>
      <w:r w:rsidRPr="006A540F">
        <w:rPr>
          <w:rFonts w:ascii="Times New Roman" w:hAnsi="Times New Roman" w:cs="Times New Roman"/>
          <w:sz w:val="24"/>
          <w:szCs w:val="24"/>
        </w:rPr>
        <w:t>встретила крестьянина, который засеивал поля пшенице</w:t>
      </w:r>
      <w:r w:rsidR="000B5EF6">
        <w:rPr>
          <w:rFonts w:ascii="Times New Roman" w:hAnsi="Times New Roman" w:cs="Times New Roman"/>
          <w:sz w:val="24"/>
          <w:szCs w:val="24"/>
        </w:rPr>
        <w:t>й</w:t>
      </w:r>
      <w:r w:rsidRPr="006A540F">
        <w:rPr>
          <w:rFonts w:ascii="Times New Roman" w:hAnsi="Times New Roman" w:cs="Times New Roman"/>
          <w:sz w:val="24"/>
          <w:szCs w:val="24"/>
        </w:rPr>
        <w:t xml:space="preserve">, и попросила его сказать преследователям, что </w:t>
      </w:r>
      <w:r w:rsidR="00CB7496">
        <w:rPr>
          <w:rFonts w:ascii="Times New Roman" w:hAnsi="Times New Roman" w:cs="Times New Roman"/>
          <w:sz w:val="24"/>
          <w:szCs w:val="24"/>
        </w:rPr>
        <w:t xml:space="preserve">она </w:t>
      </w:r>
      <w:r w:rsidRPr="006A540F">
        <w:rPr>
          <w:rFonts w:ascii="Times New Roman" w:hAnsi="Times New Roman" w:cs="Times New Roman"/>
          <w:sz w:val="24"/>
          <w:szCs w:val="24"/>
        </w:rPr>
        <w:t>пробегала мимо него, когда он засеивал поля</w:t>
      </w:r>
      <w:r w:rsidR="00E34462" w:rsidRPr="006A540F">
        <w:rPr>
          <w:rFonts w:ascii="Times New Roman" w:hAnsi="Times New Roman" w:cs="Times New Roman"/>
          <w:sz w:val="24"/>
          <w:szCs w:val="24"/>
        </w:rPr>
        <w:t>. П</w:t>
      </w:r>
      <w:r w:rsidRPr="006A540F">
        <w:rPr>
          <w:rFonts w:ascii="Times New Roman" w:hAnsi="Times New Roman" w:cs="Times New Roman"/>
          <w:sz w:val="24"/>
          <w:szCs w:val="24"/>
        </w:rPr>
        <w:t>осевы чудесным образом тут же взошли</w:t>
      </w:r>
      <w:r w:rsidR="00CB7496">
        <w:rPr>
          <w:rFonts w:ascii="Times New Roman" w:hAnsi="Times New Roman" w:cs="Times New Roman"/>
          <w:sz w:val="24"/>
          <w:szCs w:val="24"/>
        </w:rPr>
        <w:t>, а</w:t>
      </w:r>
      <w:r w:rsidRPr="006A540F">
        <w:rPr>
          <w:rFonts w:ascii="Times New Roman" w:hAnsi="Times New Roman" w:cs="Times New Roman"/>
          <w:sz w:val="24"/>
          <w:szCs w:val="24"/>
        </w:rPr>
        <w:t xml:space="preserve"> крестьянин сказал преследователям, что девушка пробежала мимо него уже давно, когда он только засеивал поля</w:t>
      </w:r>
      <w:r w:rsidR="00947A6A" w:rsidRPr="006A540F">
        <w:rPr>
          <w:rFonts w:ascii="Times New Roman" w:hAnsi="Times New Roman" w:cs="Times New Roman"/>
          <w:sz w:val="24"/>
          <w:szCs w:val="24"/>
        </w:rPr>
        <w:t>,</w:t>
      </w:r>
      <w:r w:rsidRPr="006A540F">
        <w:rPr>
          <w:rFonts w:ascii="Times New Roman" w:hAnsi="Times New Roman" w:cs="Times New Roman"/>
          <w:sz w:val="24"/>
          <w:szCs w:val="24"/>
        </w:rPr>
        <w:t xml:space="preserve"> и </w:t>
      </w:r>
      <w:r w:rsidR="00947A6A" w:rsidRPr="006A540F">
        <w:rPr>
          <w:rFonts w:ascii="Times New Roman" w:hAnsi="Times New Roman" w:cs="Times New Roman"/>
          <w:sz w:val="24"/>
          <w:szCs w:val="24"/>
        </w:rPr>
        <w:t>гонители</w:t>
      </w:r>
      <w:r w:rsidRPr="006A540F">
        <w:rPr>
          <w:rFonts w:ascii="Times New Roman" w:hAnsi="Times New Roman" w:cs="Times New Roman"/>
          <w:sz w:val="24"/>
          <w:szCs w:val="24"/>
        </w:rPr>
        <w:t xml:space="preserve"> потеряли след Ф</w:t>
      </w:r>
      <w:r w:rsidR="00FD75A9">
        <w:rPr>
          <w:rFonts w:ascii="Times New Roman" w:hAnsi="Times New Roman" w:cs="Times New Roman"/>
          <w:sz w:val="24"/>
          <w:szCs w:val="24"/>
        </w:rPr>
        <w:t>ё</w:t>
      </w:r>
      <w:r w:rsidRPr="006A540F">
        <w:rPr>
          <w:rFonts w:ascii="Times New Roman" w:hAnsi="Times New Roman" w:cs="Times New Roman"/>
          <w:sz w:val="24"/>
          <w:szCs w:val="24"/>
        </w:rPr>
        <w:t>клы</w:t>
      </w:r>
      <w:r w:rsidR="00983F18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7"/>
      </w:r>
      <w:r w:rsidRPr="006A540F">
        <w:rPr>
          <w:rFonts w:ascii="Times New Roman" w:hAnsi="Times New Roman" w:cs="Times New Roman"/>
          <w:sz w:val="24"/>
          <w:szCs w:val="24"/>
        </w:rPr>
        <w:t>.</w:t>
      </w:r>
      <w:r w:rsidR="00983F18" w:rsidRPr="006A540F">
        <w:rPr>
          <w:rFonts w:ascii="Times New Roman" w:hAnsi="Times New Roman" w:cs="Times New Roman"/>
          <w:sz w:val="24"/>
          <w:szCs w:val="24"/>
        </w:rPr>
        <w:t xml:space="preserve"> 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В четвертом томе рассказ </w:t>
      </w:r>
      <w:r w:rsidR="00947A6A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“Die heilige Thekla in Maʿlūla” 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за авторством </w:t>
      </w:r>
      <w:r w:rsidR="00947A6A" w:rsidRPr="006A540F">
        <w:rPr>
          <w:rFonts w:ascii="Times New Roman" w:hAnsi="Times New Roman" w:cs="Times New Roman"/>
          <w:sz w:val="24"/>
          <w:szCs w:val="24"/>
          <w:lang w:val="en-GB"/>
        </w:rPr>
        <w:t>Saʕda Ṭayfūr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 также содержит </w:t>
      </w:r>
      <w:r w:rsidR="00F923BE">
        <w:rPr>
          <w:rFonts w:ascii="Times New Roman" w:hAnsi="Times New Roman" w:cs="Times New Roman"/>
          <w:sz w:val="24"/>
          <w:szCs w:val="24"/>
        </w:rPr>
        <w:t>эпизод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F923BE">
        <w:rPr>
          <w:rFonts w:ascii="Times New Roman" w:hAnsi="Times New Roman" w:cs="Times New Roman"/>
          <w:sz w:val="24"/>
          <w:szCs w:val="24"/>
        </w:rPr>
        <w:t>и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 с крестьянином и историю о том, как, добравшись до горных пещер Маалулы, святая Ф</w:t>
      </w:r>
      <w:r w:rsidR="00CB7496">
        <w:rPr>
          <w:rFonts w:ascii="Times New Roman" w:hAnsi="Times New Roman" w:cs="Times New Roman"/>
          <w:sz w:val="24"/>
          <w:szCs w:val="24"/>
        </w:rPr>
        <w:t>ё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кла приложила к скале пять пальцев, </w:t>
      </w:r>
      <w:r w:rsidR="00CB7496">
        <w:rPr>
          <w:rFonts w:ascii="Times New Roman" w:hAnsi="Times New Roman" w:cs="Times New Roman"/>
          <w:sz w:val="24"/>
          <w:szCs w:val="24"/>
        </w:rPr>
        <w:t>вследствие чего</w:t>
      </w:r>
      <w:r w:rsidR="00947A6A" w:rsidRPr="006A540F">
        <w:rPr>
          <w:rFonts w:ascii="Times New Roman" w:hAnsi="Times New Roman" w:cs="Times New Roman"/>
          <w:sz w:val="24"/>
          <w:szCs w:val="24"/>
        </w:rPr>
        <w:t xml:space="preserve"> возникли пять источников</w:t>
      </w:r>
      <w:r w:rsidR="006A540F" w:rsidRPr="006A540F">
        <w:rPr>
          <w:rStyle w:val="ae"/>
          <w:rFonts w:ascii="Times New Roman" w:hAnsi="Times New Roman" w:cs="Times New Roman"/>
          <w:sz w:val="24"/>
          <w:szCs w:val="24"/>
        </w:rPr>
        <w:footnoteReference w:id="8"/>
      </w:r>
      <w:r w:rsidR="006A540F" w:rsidRPr="006A540F">
        <w:rPr>
          <w:rFonts w:ascii="Times New Roman" w:hAnsi="Times New Roman" w:cs="Times New Roman"/>
          <w:sz w:val="24"/>
          <w:szCs w:val="24"/>
        </w:rPr>
        <w:t xml:space="preserve">. </w:t>
      </w:r>
      <w:r w:rsidR="006A540F">
        <w:rPr>
          <w:rFonts w:ascii="Times New Roman" w:hAnsi="Times New Roman" w:cs="Times New Roman"/>
          <w:sz w:val="24"/>
          <w:szCs w:val="24"/>
        </w:rPr>
        <w:t xml:space="preserve">Оба сюжета встречаются в рассказе </w:t>
      </w:r>
      <w:r w:rsidR="006A540F">
        <w:rPr>
          <w:rFonts w:ascii="Times New Roman" w:hAnsi="Times New Roman" w:cs="Times New Roman"/>
          <w:sz w:val="24"/>
          <w:szCs w:val="24"/>
          <w:lang w:val="en-GB"/>
        </w:rPr>
        <w:t xml:space="preserve">Yawse </w:t>
      </w:r>
      <w:r w:rsidR="001E1BA9">
        <w:rPr>
          <w:rFonts w:ascii="Times New Roman" w:hAnsi="Times New Roman" w:cs="Times New Roman"/>
          <w:sz w:val="24"/>
          <w:szCs w:val="24"/>
        </w:rPr>
        <w:t>Š</w:t>
      </w:r>
      <w:r w:rsidR="006A540F">
        <w:rPr>
          <w:rFonts w:ascii="Times New Roman" w:hAnsi="Times New Roman" w:cs="Times New Roman"/>
          <w:sz w:val="24"/>
          <w:szCs w:val="24"/>
          <w:lang w:val="en-GB"/>
        </w:rPr>
        <w:t>arb</w:t>
      </w:r>
      <w:r w:rsidR="001E1BA9">
        <w:rPr>
          <w:rFonts w:ascii="Times New Roman" w:hAnsi="Times New Roman" w:cs="Times New Roman"/>
          <w:sz w:val="24"/>
          <w:szCs w:val="24"/>
        </w:rPr>
        <w:t>ī</w:t>
      </w:r>
      <w:r w:rsidR="006A540F">
        <w:rPr>
          <w:rFonts w:ascii="Times New Roman" w:hAnsi="Times New Roman" w:cs="Times New Roman"/>
          <w:sz w:val="24"/>
          <w:szCs w:val="24"/>
          <w:lang w:val="en-GB"/>
        </w:rPr>
        <w:t>ṭa</w:t>
      </w:r>
      <w:r w:rsidR="006A540F">
        <w:rPr>
          <w:rFonts w:ascii="Times New Roman" w:hAnsi="Times New Roman" w:cs="Times New Roman"/>
          <w:sz w:val="24"/>
          <w:szCs w:val="24"/>
        </w:rPr>
        <w:t>, записанн</w:t>
      </w:r>
      <w:r w:rsidR="00DA251F">
        <w:rPr>
          <w:rFonts w:ascii="Times New Roman" w:hAnsi="Times New Roman" w:cs="Times New Roman"/>
          <w:sz w:val="24"/>
          <w:szCs w:val="24"/>
        </w:rPr>
        <w:t>ом</w:t>
      </w:r>
      <w:r w:rsidR="006A540F">
        <w:rPr>
          <w:rFonts w:ascii="Times New Roman" w:hAnsi="Times New Roman" w:cs="Times New Roman"/>
          <w:sz w:val="24"/>
          <w:szCs w:val="24"/>
        </w:rPr>
        <w:t xml:space="preserve"> в декабре 2020 года, </w:t>
      </w:r>
      <w:r w:rsidR="000C47E2">
        <w:rPr>
          <w:rFonts w:ascii="Times New Roman" w:hAnsi="Times New Roman" w:cs="Times New Roman"/>
          <w:sz w:val="24"/>
          <w:szCs w:val="24"/>
        </w:rPr>
        <w:t>однако содержат меньше подробностей</w:t>
      </w:r>
      <w:r w:rsidR="0094258A">
        <w:rPr>
          <w:rFonts w:ascii="Times New Roman" w:hAnsi="Times New Roman" w:cs="Times New Roman"/>
          <w:sz w:val="24"/>
          <w:szCs w:val="24"/>
        </w:rPr>
        <w:t>.</w:t>
      </w:r>
    </w:p>
    <w:p w14:paraId="35BF5686" w14:textId="626856CC" w:rsidR="006A540F" w:rsidRPr="00F945A0" w:rsidRDefault="001E1BA9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В докладе мы сравним перечисленные истории, собранные в Маалуле, с теми</w:t>
      </w:r>
      <w:r w:rsidR="005028C2">
        <w:rPr>
          <w:rFonts w:ascii="Times New Roman" w:hAnsi="Times New Roman" w:cs="Times New Roman"/>
          <w:sz w:val="24"/>
          <w:szCs w:val="24"/>
        </w:rPr>
        <w:t xml:space="preserve"> вариантами житий</w:t>
      </w:r>
      <w:r>
        <w:rPr>
          <w:rFonts w:ascii="Times New Roman" w:hAnsi="Times New Roman" w:cs="Times New Roman"/>
          <w:sz w:val="24"/>
          <w:szCs w:val="24"/>
        </w:rPr>
        <w:t xml:space="preserve"> святой Ф</w:t>
      </w:r>
      <w:r w:rsidR="001B246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клы, которые дошли до нас в письменных арабских, сирийских и греческих источниках</w:t>
      </w:r>
      <w:r w:rsidR="00BC61E1">
        <w:rPr>
          <w:rStyle w:val="ae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23BE">
        <w:rPr>
          <w:rFonts w:ascii="Times New Roman" w:hAnsi="Times New Roman" w:cs="Times New Roman"/>
          <w:sz w:val="24"/>
          <w:szCs w:val="24"/>
        </w:rPr>
        <w:t>В настощее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BE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арабоязычная христианская традиция является самой актуальной для жителей деревни: арабский язык стал главным языком богослужения и литературы. Обращение к сирийским и греческим источникам помогает проследить </w:t>
      </w:r>
      <w:r w:rsidR="00E23172">
        <w:rPr>
          <w:rFonts w:ascii="Times New Roman" w:hAnsi="Times New Roman" w:cs="Times New Roman"/>
          <w:sz w:val="24"/>
          <w:szCs w:val="24"/>
        </w:rPr>
        <w:t>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культа святой Ф</w:t>
      </w:r>
      <w:r w:rsidR="001B246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клы в Маалуле</w:t>
      </w:r>
      <w:r w:rsidR="00E23172">
        <w:rPr>
          <w:rFonts w:ascii="Times New Roman" w:hAnsi="Times New Roman" w:cs="Times New Roman"/>
          <w:sz w:val="24"/>
          <w:szCs w:val="24"/>
        </w:rPr>
        <w:t>. М</w:t>
      </w:r>
      <w:r w:rsidR="005028C2">
        <w:rPr>
          <w:rFonts w:ascii="Times New Roman" w:hAnsi="Times New Roman" w:cs="Times New Roman"/>
          <w:sz w:val="24"/>
          <w:szCs w:val="24"/>
        </w:rPr>
        <w:t xml:space="preserve">ы полагаем, </w:t>
      </w:r>
      <w:r w:rsidR="00E23172">
        <w:rPr>
          <w:rFonts w:ascii="Times New Roman" w:hAnsi="Times New Roman" w:cs="Times New Roman"/>
          <w:sz w:val="24"/>
          <w:szCs w:val="24"/>
        </w:rPr>
        <w:t xml:space="preserve">что изначально культ святой </w:t>
      </w:r>
      <w:r w:rsidR="005028C2">
        <w:rPr>
          <w:rFonts w:ascii="Times New Roman" w:hAnsi="Times New Roman" w:cs="Times New Roman"/>
          <w:sz w:val="24"/>
          <w:szCs w:val="24"/>
        </w:rPr>
        <w:t xml:space="preserve">зародился в пригородах Антиохии, где, согласно тексту </w:t>
      </w:r>
      <w:r w:rsidR="005028C2" w:rsidRPr="001B2466">
        <w:rPr>
          <w:rFonts w:ascii="Times New Roman" w:hAnsi="Times New Roman" w:cs="Times New Roman"/>
          <w:sz w:val="24"/>
          <w:szCs w:val="24"/>
        </w:rPr>
        <w:t>Деяний Павла и Ф</w:t>
      </w:r>
      <w:r w:rsidR="001B2466">
        <w:rPr>
          <w:rFonts w:ascii="Times New Roman" w:hAnsi="Times New Roman" w:cs="Times New Roman"/>
          <w:sz w:val="24"/>
          <w:szCs w:val="24"/>
        </w:rPr>
        <w:t>ё</w:t>
      </w:r>
      <w:r w:rsidR="005028C2" w:rsidRPr="001B2466">
        <w:rPr>
          <w:rFonts w:ascii="Times New Roman" w:hAnsi="Times New Roman" w:cs="Times New Roman"/>
          <w:sz w:val="24"/>
          <w:szCs w:val="24"/>
        </w:rPr>
        <w:t>клы</w:t>
      </w:r>
      <w:r w:rsidR="001B2466">
        <w:rPr>
          <w:rFonts w:ascii="Times New Roman" w:hAnsi="Times New Roman" w:cs="Times New Roman"/>
          <w:sz w:val="24"/>
          <w:szCs w:val="24"/>
        </w:rPr>
        <w:t>,</w:t>
      </w:r>
      <w:r w:rsidR="00E2317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5028C2">
        <w:rPr>
          <w:rFonts w:ascii="Times New Roman" w:hAnsi="Times New Roman" w:cs="Times New Roman"/>
          <w:sz w:val="24"/>
          <w:szCs w:val="24"/>
        </w:rPr>
        <w:t>святая закончила свой земной путь</w:t>
      </w:r>
      <w:r w:rsidR="00E23172">
        <w:rPr>
          <w:rStyle w:val="ae"/>
          <w:rFonts w:ascii="Times New Roman" w:hAnsi="Times New Roman" w:cs="Times New Roman"/>
          <w:i/>
          <w:iCs/>
          <w:sz w:val="24"/>
          <w:szCs w:val="24"/>
        </w:rPr>
        <w:footnoteReference w:id="10"/>
      </w:r>
      <w:r w:rsidR="005028C2">
        <w:rPr>
          <w:rFonts w:ascii="Times New Roman" w:hAnsi="Times New Roman" w:cs="Times New Roman"/>
          <w:sz w:val="24"/>
          <w:szCs w:val="24"/>
        </w:rPr>
        <w:t>.</w:t>
      </w:r>
      <w:r w:rsidR="00C5334C">
        <w:rPr>
          <w:rFonts w:ascii="Times New Roman" w:hAnsi="Times New Roman" w:cs="Times New Roman"/>
          <w:sz w:val="24"/>
          <w:szCs w:val="24"/>
        </w:rPr>
        <w:t xml:space="preserve"> </w:t>
      </w:r>
      <w:r w:rsidR="00C5334C" w:rsidRPr="00C5334C">
        <w:rPr>
          <w:rFonts w:ascii="Times New Roman" w:hAnsi="Times New Roman" w:cs="Times New Roman"/>
          <w:sz w:val="24"/>
          <w:szCs w:val="24"/>
        </w:rPr>
        <w:t xml:space="preserve">В этом отношении примечательно, что в Дафне, пригороде </w:t>
      </w:r>
      <w:r w:rsidR="00C5334C">
        <w:rPr>
          <w:rFonts w:ascii="Times New Roman" w:hAnsi="Times New Roman" w:cs="Times New Roman"/>
          <w:sz w:val="24"/>
          <w:szCs w:val="24"/>
        </w:rPr>
        <w:t>Антиохии, находились пять источников Дафны</w:t>
      </w:r>
      <w:r w:rsidR="00C75E9A">
        <w:rPr>
          <w:rFonts w:ascii="Times New Roman" w:hAnsi="Times New Roman" w:cs="Times New Roman"/>
          <w:sz w:val="24"/>
          <w:szCs w:val="24"/>
        </w:rPr>
        <w:t xml:space="preserve"> (</w:t>
      </w:r>
      <w:r w:rsidR="00C75E9A" w:rsidRPr="00C75E9A">
        <w:rPr>
          <w:rFonts w:ascii="Times New Roman" w:hAnsi="Times New Roman" w:cs="Times New Roman"/>
          <w:sz w:val="24"/>
          <w:szCs w:val="24"/>
        </w:rPr>
        <w:t>Stillwell</w:t>
      </w:r>
      <w:r w:rsidR="00C75E9A">
        <w:rPr>
          <w:rFonts w:ascii="Times New Roman" w:hAnsi="Times New Roman" w:cs="Times New Roman"/>
          <w:sz w:val="24"/>
          <w:szCs w:val="24"/>
          <w:lang w:val="en-GB"/>
        </w:rPr>
        <w:t>, 1938)</w:t>
      </w:r>
      <w:r w:rsidR="00C5334C">
        <w:rPr>
          <w:rFonts w:ascii="Times New Roman" w:hAnsi="Times New Roman" w:cs="Times New Roman"/>
          <w:sz w:val="24"/>
          <w:szCs w:val="24"/>
        </w:rPr>
        <w:t>, которые могли стать прообразом пяти источников в легенде о св. Ф</w:t>
      </w:r>
      <w:r w:rsidR="001B2466">
        <w:rPr>
          <w:rFonts w:ascii="Times New Roman" w:hAnsi="Times New Roman" w:cs="Times New Roman"/>
          <w:sz w:val="24"/>
          <w:szCs w:val="24"/>
        </w:rPr>
        <w:t>ё</w:t>
      </w:r>
      <w:r w:rsidR="00C5334C">
        <w:rPr>
          <w:rFonts w:ascii="Times New Roman" w:hAnsi="Times New Roman" w:cs="Times New Roman"/>
          <w:sz w:val="24"/>
          <w:szCs w:val="24"/>
        </w:rPr>
        <w:t>кле</w:t>
      </w:r>
      <w:r w:rsidR="00F140D0">
        <w:rPr>
          <w:rFonts w:ascii="Times New Roman" w:hAnsi="Times New Roman" w:cs="Times New Roman"/>
          <w:sz w:val="24"/>
          <w:szCs w:val="24"/>
        </w:rPr>
        <w:t>,</w:t>
      </w:r>
      <w:r w:rsidR="00C5334C">
        <w:rPr>
          <w:rFonts w:ascii="Times New Roman" w:hAnsi="Times New Roman" w:cs="Times New Roman"/>
          <w:sz w:val="24"/>
          <w:szCs w:val="24"/>
        </w:rPr>
        <w:t xml:space="preserve"> и </w:t>
      </w:r>
      <w:r w:rsidR="00F140D0">
        <w:rPr>
          <w:rFonts w:ascii="Times New Roman" w:hAnsi="Times New Roman" w:cs="Times New Roman"/>
          <w:sz w:val="24"/>
          <w:szCs w:val="24"/>
        </w:rPr>
        <w:t xml:space="preserve">уже </w:t>
      </w:r>
      <w:r w:rsidR="00C5334C">
        <w:rPr>
          <w:rFonts w:ascii="Times New Roman" w:hAnsi="Times New Roman" w:cs="Times New Roman"/>
          <w:sz w:val="24"/>
          <w:szCs w:val="24"/>
        </w:rPr>
        <w:t xml:space="preserve">в </w:t>
      </w:r>
      <w:r w:rsidR="00334645">
        <w:rPr>
          <w:rFonts w:ascii="Times New Roman" w:hAnsi="Times New Roman" w:cs="Times New Roman"/>
          <w:sz w:val="24"/>
          <w:szCs w:val="24"/>
        </w:rPr>
        <w:t>таком</w:t>
      </w:r>
      <w:r w:rsidR="00C5334C">
        <w:rPr>
          <w:rFonts w:ascii="Times New Roman" w:hAnsi="Times New Roman" w:cs="Times New Roman"/>
          <w:sz w:val="24"/>
          <w:szCs w:val="24"/>
        </w:rPr>
        <w:t xml:space="preserve"> виде </w:t>
      </w:r>
      <w:r w:rsidR="00F140D0">
        <w:rPr>
          <w:rFonts w:ascii="Times New Roman" w:hAnsi="Times New Roman" w:cs="Times New Roman"/>
          <w:sz w:val="24"/>
          <w:szCs w:val="24"/>
        </w:rPr>
        <w:t xml:space="preserve">этот эпизод, должно быть, </w:t>
      </w:r>
      <w:r w:rsidR="00C5334C">
        <w:rPr>
          <w:rFonts w:ascii="Times New Roman" w:hAnsi="Times New Roman" w:cs="Times New Roman"/>
          <w:sz w:val="24"/>
          <w:szCs w:val="24"/>
        </w:rPr>
        <w:t>попа</w:t>
      </w:r>
      <w:r w:rsidR="00F140D0">
        <w:rPr>
          <w:rFonts w:ascii="Times New Roman" w:hAnsi="Times New Roman" w:cs="Times New Roman"/>
          <w:sz w:val="24"/>
          <w:szCs w:val="24"/>
        </w:rPr>
        <w:t>л</w:t>
      </w:r>
      <w:r w:rsidR="00C5334C">
        <w:rPr>
          <w:rFonts w:ascii="Times New Roman" w:hAnsi="Times New Roman" w:cs="Times New Roman"/>
          <w:sz w:val="24"/>
          <w:szCs w:val="24"/>
        </w:rPr>
        <w:t xml:space="preserve"> в Маалулу. </w:t>
      </w:r>
      <w:r w:rsidR="00A03013">
        <w:rPr>
          <w:rFonts w:ascii="Times New Roman" w:hAnsi="Times New Roman" w:cs="Times New Roman"/>
          <w:sz w:val="24"/>
          <w:szCs w:val="24"/>
        </w:rPr>
        <w:t>Предание о том, что Ф</w:t>
      </w:r>
      <w:r w:rsidR="00334645">
        <w:rPr>
          <w:rFonts w:ascii="Times New Roman" w:hAnsi="Times New Roman" w:cs="Times New Roman"/>
          <w:sz w:val="24"/>
          <w:szCs w:val="24"/>
        </w:rPr>
        <w:t>ё</w:t>
      </w:r>
      <w:r w:rsidR="00A03013">
        <w:rPr>
          <w:rFonts w:ascii="Times New Roman" w:hAnsi="Times New Roman" w:cs="Times New Roman"/>
          <w:sz w:val="24"/>
          <w:szCs w:val="24"/>
        </w:rPr>
        <w:t xml:space="preserve">кла закончила свои земные дни в горах Каламуна, видимо, восходит к свидетельству </w:t>
      </w:r>
      <w:r w:rsidR="00F945A0">
        <w:rPr>
          <w:rFonts w:ascii="Times New Roman" w:hAnsi="Times New Roman" w:cs="Times New Roman"/>
          <w:sz w:val="24"/>
          <w:szCs w:val="24"/>
        </w:rPr>
        <w:t xml:space="preserve">нескольких </w:t>
      </w:r>
      <w:r w:rsidR="00A03013">
        <w:rPr>
          <w:rFonts w:ascii="Times New Roman" w:hAnsi="Times New Roman" w:cs="Times New Roman"/>
          <w:sz w:val="24"/>
          <w:szCs w:val="24"/>
        </w:rPr>
        <w:t>рукописей</w:t>
      </w:r>
      <w:r w:rsidR="00F945A0">
        <w:rPr>
          <w:rFonts w:ascii="Times New Roman" w:hAnsi="Times New Roman" w:cs="Times New Roman"/>
          <w:sz w:val="24"/>
          <w:szCs w:val="24"/>
        </w:rPr>
        <w:t xml:space="preserve"> текста Деяний Павла и Ф</w:t>
      </w:r>
      <w:r w:rsidR="00334645">
        <w:rPr>
          <w:rFonts w:ascii="Times New Roman" w:hAnsi="Times New Roman" w:cs="Times New Roman"/>
          <w:sz w:val="24"/>
          <w:szCs w:val="24"/>
        </w:rPr>
        <w:t>ё</w:t>
      </w:r>
      <w:r w:rsidR="00F945A0">
        <w:rPr>
          <w:rFonts w:ascii="Times New Roman" w:hAnsi="Times New Roman" w:cs="Times New Roman"/>
          <w:sz w:val="24"/>
          <w:szCs w:val="24"/>
        </w:rPr>
        <w:t>клы, содержащих «дополнительный» финал, возникший в результате смешения с текстом Добродетельны</w:t>
      </w:r>
      <w:r w:rsidR="00833C0A">
        <w:rPr>
          <w:rFonts w:ascii="Times New Roman" w:hAnsi="Times New Roman" w:cs="Times New Roman"/>
          <w:sz w:val="24"/>
          <w:szCs w:val="24"/>
        </w:rPr>
        <w:t>х</w:t>
      </w:r>
      <w:r w:rsidR="00F945A0">
        <w:rPr>
          <w:rFonts w:ascii="Times New Roman" w:hAnsi="Times New Roman" w:cs="Times New Roman"/>
          <w:sz w:val="24"/>
          <w:szCs w:val="24"/>
        </w:rPr>
        <w:t xml:space="preserve"> деяни</w:t>
      </w:r>
      <w:r w:rsidR="00833C0A">
        <w:rPr>
          <w:rFonts w:ascii="Times New Roman" w:hAnsi="Times New Roman" w:cs="Times New Roman"/>
          <w:sz w:val="24"/>
          <w:szCs w:val="24"/>
        </w:rPr>
        <w:t>й</w:t>
      </w:r>
      <w:r w:rsidR="00F945A0">
        <w:rPr>
          <w:rFonts w:ascii="Times New Roman" w:hAnsi="Times New Roman" w:cs="Times New Roman"/>
          <w:sz w:val="24"/>
          <w:szCs w:val="24"/>
        </w:rPr>
        <w:t xml:space="preserve"> Ф</w:t>
      </w:r>
      <w:r w:rsidR="00334645">
        <w:rPr>
          <w:rFonts w:ascii="Times New Roman" w:hAnsi="Times New Roman" w:cs="Times New Roman"/>
          <w:sz w:val="24"/>
          <w:szCs w:val="24"/>
        </w:rPr>
        <w:t>ё</w:t>
      </w:r>
      <w:r w:rsidR="00F945A0">
        <w:rPr>
          <w:rFonts w:ascii="Times New Roman" w:hAnsi="Times New Roman" w:cs="Times New Roman"/>
          <w:sz w:val="24"/>
          <w:szCs w:val="24"/>
        </w:rPr>
        <w:t xml:space="preserve">клы </w:t>
      </w:r>
      <w:r w:rsidR="00A03013">
        <w:rPr>
          <w:rFonts w:ascii="Times New Roman" w:hAnsi="Times New Roman" w:cs="Times New Roman"/>
          <w:sz w:val="24"/>
          <w:szCs w:val="24"/>
        </w:rPr>
        <w:t>(</w:t>
      </w:r>
      <w:r w:rsidR="00F945A0">
        <w:rPr>
          <w:rFonts w:ascii="Times New Roman" w:hAnsi="Times New Roman" w:cs="Times New Roman"/>
          <w:sz w:val="24"/>
          <w:szCs w:val="24"/>
        </w:rPr>
        <w:t>привед</w:t>
      </w:r>
      <w:r w:rsidR="00833C0A">
        <w:rPr>
          <w:rFonts w:ascii="Times New Roman" w:hAnsi="Times New Roman" w:cs="Times New Roman"/>
          <w:sz w:val="24"/>
          <w:szCs w:val="24"/>
        </w:rPr>
        <w:t>ё</w:t>
      </w:r>
      <w:r w:rsidR="00F945A0">
        <w:rPr>
          <w:rFonts w:ascii="Times New Roman" w:hAnsi="Times New Roman" w:cs="Times New Roman"/>
          <w:sz w:val="24"/>
          <w:szCs w:val="24"/>
        </w:rPr>
        <w:t xml:space="preserve">м пример из рукописей 10-11 вв. </w:t>
      </w:r>
      <w:r w:rsidR="00A03013">
        <w:rPr>
          <w:rFonts w:ascii="Times New Roman" w:hAnsi="Times New Roman" w:cs="Times New Roman"/>
          <w:sz w:val="24"/>
          <w:szCs w:val="24"/>
        </w:rPr>
        <w:t xml:space="preserve">45, 48 и 49 по изданию </w:t>
      </w:r>
      <w:r w:rsidR="00A03013" w:rsidRPr="00A03013">
        <w:rPr>
          <w:rFonts w:ascii="Times New Roman" w:hAnsi="Times New Roman" w:cs="Times New Roman"/>
          <w:sz w:val="24"/>
          <w:szCs w:val="24"/>
        </w:rPr>
        <w:t>K</w:t>
      </w:r>
      <w:r w:rsidR="00A03013">
        <w:rPr>
          <w:rFonts w:ascii="Times New Roman" w:hAnsi="Times New Roman" w:cs="Times New Roman"/>
          <w:sz w:val="24"/>
          <w:szCs w:val="24"/>
          <w:lang w:val="en-GB"/>
        </w:rPr>
        <w:t>aestli</w:t>
      </w:r>
      <w:r w:rsidR="00A03013" w:rsidRPr="00A03013">
        <w:rPr>
          <w:rFonts w:ascii="Times New Roman" w:hAnsi="Times New Roman" w:cs="Times New Roman"/>
          <w:sz w:val="24"/>
          <w:szCs w:val="24"/>
        </w:rPr>
        <w:t xml:space="preserve"> </w:t>
      </w:r>
      <w:r w:rsidR="00A03013">
        <w:rPr>
          <w:rFonts w:ascii="Times New Roman" w:hAnsi="Times New Roman" w:cs="Times New Roman"/>
          <w:sz w:val="24"/>
          <w:szCs w:val="24"/>
        </w:rPr>
        <w:t xml:space="preserve">и </w:t>
      </w:r>
      <w:r w:rsidR="00A03013" w:rsidRPr="00A03013">
        <w:rPr>
          <w:rFonts w:ascii="Times New Roman" w:hAnsi="Times New Roman" w:cs="Times New Roman"/>
          <w:sz w:val="24"/>
          <w:szCs w:val="24"/>
        </w:rPr>
        <w:t>R</w:t>
      </w:r>
      <w:r w:rsidR="00A03013">
        <w:rPr>
          <w:rFonts w:ascii="Times New Roman" w:hAnsi="Times New Roman" w:cs="Times New Roman"/>
          <w:sz w:val="24"/>
          <w:szCs w:val="24"/>
          <w:lang w:val="en-GB"/>
        </w:rPr>
        <w:t>ordorf, 2014)</w:t>
      </w:r>
      <w:r w:rsidR="00A03013">
        <w:rPr>
          <w:rFonts w:ascii="Times New Roman" w:hAnsi="Times New Roman" w:cs="Times New Roman"/>
          <w:sz w:val="24"/>
          <w:szCs w:val="24"/>
        </w:rPr>
        <w:t>:</w:t>
      </w:r>
    </w:p>
    <w:p w14:paraId="4A67331C" w14:textId="6DED736A" w:rsidR="00A03013" w:rsidRDefault="00A03013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013">
        <w:rPr>
          <w:rFonts w:ascii="Times New Roman" w:hAnsi="Times New Roman" w:cs="Times New Roman"/>
          <w:sz w:val="24"/>
          <w:szCs w:val="24"/>
        </w:rPr>
        <w:t xml:space="preserve">elle avait peur de ces gens, parce qu’ils servaient les idoles. Cette lumière lui servit de guide et l’amena sur </w:t>
      </w:r>
      <w:r w:rsidRPr="003E467B">
        <w:rPr>
          <w:rFonts w:ascii="Times New Roman" w:hAnsi="Times New Roman" w:cs="Times New Roman"/>
          <w:b/>
          <w:bCs/>
          <w:sz w:val="24"/>
          <w:szCs w:val="24"/>
        </w:rPr>
        <w:t>la colline dite de Kalamon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3013">
        <w:rPr>
          <w:rFonts w:ascii="Times New Roman" w:hAnsi="Times New Roman" w:cs="Times New Roman"/>
          <w:sz w:val="24"/>
          <w:szCs w:val="24"/>
        </w:rPr>
        <w:t>ἐν τῷ ὄρει τῷ καλουμένῳ Καλαμῶνος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3013">
        <w:rPr>
          <w:rFonts w:ascii="Times New Roman" w:hAnsi="Times New Roman" w:cs="Times New Roman"/>
          <w:sz w:val="24"/>
          <w:szCs w:val="24"/>
        </w:rPr>
        <w:t xml:space="preserve"> ou de Rhodéon. Là, elle trouva une grotte et y entra. C’est là qu’elle demeura pendant un grand nombre d’années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30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en-GB"/>
        </w:rPr>
        <w:t>aestli</w:t>
      </w:r>
      <w:r w:rsidRPr="00A03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0301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ordorf, 2014</w:t>
      </w:r>
      <w:r>
        <w:rPr>
          <w:rFonts w:ascii="Times New Roman" w:hAnsi="Times New Roman" w:cs="Times New Roman"/>
          <w:sz w:val="24"/>
          <w:szCs w:val="24"/>
        </w:rPr>
        <w:t>, с. 41)</w:t>
      </w:r>
    </w:p>
    <w:p w14:paraId="05021280" w14:textId="77777777" w:rsidR="00F945A0" w:rsidRDefault="00A03013" w:rsidP="00833C0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отмечают издатели, ссылаясь на (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A03013">
        <w:rPr>
          <w:rFonts w:ascii="Times New Roman" w:hAnsi="Times New Roman" w:cs="Times New Roman"/>
          <w:sz w:val="24"/>
          <w:szCs w:val="24"/>
        </w:rPr>
        <w:t>ouier</w:t>
      </w:r>
      <w:r>
        <w:rPr>
          <w:rFonts w:ascii="Times New Roman" w:hAnsi="Times New Roman" w:cs="Times New Roman"/>
          <w:sz w:val="24"/>
          <w:szCs w:val="24"/>
          <w:lang w:val="en-GB"/>
        </w:rPr>
        <w:t>, B</w:t>
      </w:r>
      <w:r w:rsidRPr="00A030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A03013"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2013)</w:t>
      </w:r>
      <w:r w:rsidR="00F945A0">
        <w:rPr>
          <w:rFonts w:ascii="Times New Roman" w:hAnsi="Times New Roman" w:cs="Times New Roman"/>
          <w:sz w:val="24"/>
          <w:szCs w:val="24"/>
        </w:rPr>
        <w:t>,</w:t>
      </w:r>
    </w:p>
    <w:p w14:paraId="2432EEC9" w14:textId="5BCD69F3" w:rsidR="00A03013" w:rsidRDefault="00F945A0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5A0">
        <w:rPr>
          <w:rFonts w:ascii="Times New Roman" w:hAnsi="Times New Roman" w:cs="Times New Roman"/>
          <w:sz w:val="24"/>
          <w:szCs w:val="24"/>
        </w:rPr>
        <w:t xml:space="preserve">L’orthographe la plus courante est celle du texte VI: </w:t>
      </w:r>
      <w:r w:rsidRPr="003E467B">
        <w:rPr>
          <w:rFonts w:ascii="Times New Roman" w:hAnsi="Times New Roman" w:cs="Times New Roman"/>
          <w:b/>
          <w:bCs/>
          <w:sz w:val="24"/>
          <w:szCs w:val="24"/>
        </w:rPr>
        <w:t>Καλαμεών</w:t>
      </w:r>
      <w:r w:rsidRPr="00F945A0">
        <w:rPr>
          <w:rFonts w:ascii="Times New Roman" w:hAnsi="Times New Roman" w:cs="Times New Roman"/>
          <w:sz w:val="24"/>
          <w:szCs w:val="24"/>
        </w:rPr>
        <w:t>, «</w:t>
      </w:r>
      <w:r w:rsidRPr="003E467B">
        <w:rPr>
          <w:rFonts w:ascii="Times New Roman" w:hAnsi="Times New Roman" w:cs="Times New Roman"/>
          <w:b/>
          <w:bCs/>
          <w:sz w:val="24"/>
          <w:szCs w:val="24"/>
        </w:rPr>
        <w:t>le lieu des roseaux</w:t>
      </w:r>
      <w:r w:rsidRPr="00F945A0">
        <w:rPr>
          <w:rFonts w:ascii="Times New Roman" w:hAnsi="Times New Roman" w:cs="Times New Roman"/>
          <w:sz w:val="24"/>
          <w:szCs w:val="24"/>
        </w:rPr>
        <w:t>», «</w:t>
      </w:r>
      <w:r w:rsidRPr="003E467B">
        <w:rPr>
          <w:rFonts w:ascii="Times New Roman" w:hAnsi="Times New Roman" w:cs="Times New Roman"/>
          <w:b/>
          <w:bCs/>
          <w:sz w:val="24"/>
          <w:szCs w:val="24"/>
        </w:rPr>
        <w:t>la roselière</w:t>
      </w:r>
      <w:r w:rsidRPr="00F945A0">
        <w:rPr>
          <w:rFonts w:ascii="Times New Roman" w:hAnsi="Times New Roman" w:cs="Times New Roman"/>
          <w:sz w:val="24"/>
          <w:szCs w:val="24"/>
        </w:rPr>
        <w:t>», Ῥοδίων, «le lieu des roses», «la roseraie»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30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en-GB"/>
        </w:rPr>
        <w:t>aestli</w:t>
      </w:r>
      <w:r w:rsidRPr="00A03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0301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ordorf, 2014</w:t>
      </w:r>
      <w:r>
        <w:rPr>
          <w:rFonts w:ascii="Times New Roman" w:hAnsi="Times New Roman" w:cs="Times New Roman"/>
          <w:sz w:val="24"/>
          <w:szCs w:val="24"/>
        </w:rPr>
        <w:t>, с. 41)</w:t>
      </w:r>
    </w:p>
    <w:p w14:paraId="01EF7E50" w14:textId="0E4DD458" w:rsidR="00F945A0" w:rsidRDefault="00F945A0" w:rsidP="0083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предполагаем, что топоним </w:t>
      </w:r>
      <w:r w:rsidRPr="00F945A0">
        <w:rPr>
          <w:rFonts w:ascii="Times New Roman" w:hAnsi="Times New Roman" w:cs="Times New Roman"/>
          <w:sz w:val="24"/>
          <w:szCs w:val="24"/>
        </w:rPr>
        <w:t>Καλαμεών</w:t>
      </w:r>
      <w:r>
        <w:rPr>
          <w:rFonts w:ascii="Times New Roman" w:hAnsi="Times New Roman" w:cs="Times New Roman"/>
          <w:sz w:val="24"/>
          <w:szCs w:val="24"/>
        </w:rPr>
        <w:t xml:space="preserve"> (букв. </w:t>
      </w:r>
      <w:r w:rsidR="00F923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тростниковый куст</w:t>
      </w:r>
      <w:r w:rsidR="00F923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23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место тростника</w:t>
      </w:r>
      <w:r w:rsidR="00F923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в итоге был отождествл</w:t>
      </w:r>
      <w:r w:rsidR="00833C0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 с нагорьем Каламун в центральной Сири</w:t>
      </w:r>
      <w:r w:rsidR="005A32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3C0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="00833C0A">
        <w:rPr>
          <w:rFonts w:ascii="Times New Roman" w:hAnsi="Times New Roman" w:cs="Times New Roman"/>
          <w:sz w:val="24"/>
          <w:szCs w:val="24"/>
        </w:rPr>
        <w:t xml:space="preserve">чего </w:t>
      </w:r>
      <w:r>
        <w:rPr>
          <w:rFonts w:ascii="Times New Roman" w:hAnsi="Times New Roman" w:cs="Times New Roman"/>
          <w:sz w:val="24"/>
          <w:szCs w:val="24"/>
        </w:rPr>
        <w:t>культ святой Ф</w:t>
      </w:r>
      <w:r w:rsidR="00833C0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клы возник в Маалуле, где приобр</w:t>
      </w:r>
      <w:r w:rsidR="00833C0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л свои локальные </w:t>
      </w:r>
      <w:r w:rsidR="003E467B">
        <w:rPr>
          <w:rFonts w:ascii="Times New Roman" w:hAnsi="Times New Roman" w:cs="Times New Roman"/>
          <w:sz w:val="24"/>
          <w:szCs w:val="24"/>
        </w:rPr>
        <w:t>черты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ABBF0" w14:textId="527FD3DA" w:rsidR="006A540F" w:rsidRPr="0041458D" w:rsidRDefault="006A540F" w:rsidP="00833C0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139F4A" w14:textId="75734ED7" w:rsidR="0056298B" w:rsidRDefault="0056298B" w:rsidP="00833C0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</w:rPr>
        <w:t>Литература</w:t>
      </w:r>
    </w:p>
    <w:p w14:paraId="3477CC65" w14:textId="70FF0385" w:rsidR="00BC61E1" w:rsidRPr="00BC61E1" w:rsidRDefault="00BC61E1" w:rsidP="00833C0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61E1">
        <w:rPr>
          <w:rFonts w:ascii="Times New Roman" w:hAnsi="Times New Roman" w:cs="Times New Roman"/>
          <w:sz w:val="24"/>
          <w:szCs w:val="24"/>
        </w:rPr>
        <w:t>Acts of Paul and Thecla // NASSCAL: The North American Society for the Study of Christian Apocryphal Literature URL: https://www.nasscal.com/e-clavis-christian-apocrypha/acts-of-paul-and-thecla/ (дата обращения: 08.03.2025).</w:t>
      </w:r>
    </w:p>
    <w:p w14:paraId="4DEE5D37" w14:textId="421CA001" w:rsidR="00B6321B" w:rsidRPr="006A540F" w:rsidRDefault="00B6321B" w:rsidP="00833C0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  <w:lang w:val="en-GB"/>
        </w:rPr>
        <w:t>Arnold W.</w:t>
      </w:r>
      <w:r w:rsidR="007948DD" w:rsidRPr="006A540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AE271DB" w14:textId="1B305A3E" w:rsidR="00B6321B" w:rsidRPr="006A540F" w:rsidRDefault="00B6321B" w:rsidP="00833C0A">
      <w:pPr>
        <w:pStyle w:val="a7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  <w:lang w:val="en-GB"/>
        </w:rPr>
        <w:t>Das Neuwestaramäische. III. Volkskundliche Texte aus Maʿlūla</w:t>
      </w:r>
      <w:r w:rsidR="00E34462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948DD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- Wiesbaden: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Semitica Viva; Bd. 4/III,</w:t>
      </w:r>
      <w:r w:rsidR="007948DD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1991.</w:t>
      </w:r>
    </w:p>
    <w:p w14:paraId="3AF43E72" w14:textId="5ADEF6F8" w:rsidR="0056298B" w:rsidRPr="006A540F" w:rsidRDefault="00B6321B" w:rsidP="00833C0A">
      <w:pPr>
        <w:pStyle w:val="a7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  <w:lang w:val="en-GB"/>
        </w:rPr>
        <w:t>Das Neuwestaramäische. IV. Orale Literatur aus Maʿlūla</w:t>
      </w:r>
      <w:r w:rsidR="007948DD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. - Wiesbaden: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Semitica Viva; Bd. 4/IV</w:t>
      </w:r>
      <w:r w:rsidR="007948DD"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1991.</w:t>
      </w:r>
    </w:p>
    <w:p w14:paraId="664313D4" w14:textId="365C869B" w:rsidR="00983F18" w:rsidRPr="006A540F" w:rsidRDefault="005C019E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Arnold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W., </w:t>
      </w:r>
      <w:r w:rsidRPr="006A540F">
        <w:rPr>
          <w:rFonts w:ascii="Times New Roman" w:hAnsi="Times New Roman" w:cs="Times New Roman"/>
          <w:sz w:val="24"/>
          <w:szCs w:val="24"/>
        </w:rPr>
        <w:t>Escher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A., </w:t>
      </w:r>
      <w:r w:rsidRPr="006A540F">
        <w:rPr>
          <w:rFonts w:ascii="Times New Roman" w:hAnsi="Times New Roman" w:cs="Times New Roman"/>
          <w:sz w:val="24"/>
          <w:szCs w:val="24"/>
        </w:rPr>
        <w:t xml:space="preserve">Pfaffenbach, 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C. </w:t>
      </w:r>
      <w:r w:rsidRPr="006A540F">
        <w:rPr>
          <w:rFonts w:ascii="Times New Roman" w:hAnsi="Times New Roman" w:cs="Times New Roman"/>
          <w:sz w:val="24"/>
          <w:szCs w:val="24"/>
        </w:rPr>
        <w:t>Malula und M'alloy. Erzählungen aus einem syrischen Dorf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. – </w:t>
      </w:r>
      <w:r w:rsidRPr="006A540F">
        <w:rPr>
          <w:rFonts w:ascii="Times New Roman" w:hAnsi="Times New Roman" w:cs="Times New Roman"/>
          <w:sz w:val="24"/>
          <w:szCs w:val="24"/>
        </w:rPr>
        <w:t>Würzburg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6A540F">
        <w:rPr>
          <w:rFonts w:ascii="Times New Roman" w:hAnsi="Times New Roman" w:cs="Times New Roman"/>
          <w:sz w:val="24"/>
          <w:szCs w:val="24"/>
        </w:rPr>
        <w:t xml:space="preserve"> Bibliotheca Academica, Reihe Orientalistik, Bd. 9,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2004.</w:t>
      </w:r>
    </w:p>
    <w:p w14:paraId="62AE8386" w14:textId="79924550" w:rsidR="00983F18" w:rsidRDefault="00935F8E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  <w:lang w:val="en-GB"/>
        </w:rPr>
        <w:t>Bergsträsser G. Neuaramäische Märchen und andere Texte aus Maʿlūla hauptsächlich aus der Sammlung E. Pryms und A. Socins. – Wiesbaden: Abhandlungen für die Kunde des Morgenlandes 13,2 und 13,3, 1915</w:t>
      </w:r>
      <w:r w:rsidR="0051549A" w:rsidRPr="006A54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F7F845" w14:textId="4103B47E" w:rsidR="0041458D" w:rsidRPr="0041458D" w:rsidRDefault="0041458D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458D">
        <w:rPr>
          <w:rFonts w:ascii="Times New Roman" w:hAnsi="Times New Roman" w:cs="Times New Roman"/>
          <w:sz w:val="24"/>
          <w:szCs w:val="24"/>
        </w:rPr>
        <w:t>Bovon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1458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58D">
        <w:rPr>
          <w:rFonts w:ascii="Times New Roman" w:hAnsi="Times New Roman" w:cs="Times New Roman"/>
          <w:sz w:val="24"/>
          <w:szCs w:val="24"/>
        </w:rPr>
        <w:t>Bertrand B. Miracles additionnels de Thècle dans le manuscrit de Rome: Angelicus graecus 108.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41458D">
        <w:rPr>
          <w:rFonts w:ascii="Times New Roman" w:hAnsi="Times New Roman" w:cs="Times New Roman"/>
          <w:sz w:val="24"/>
          <w:szCs w:val="24"/>
        </w:rPr>
        <w:t> Apocrypha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41458D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6A540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24 - с. </w:t>
      </w:r>
      <w:r w:rsidRPr="0041458D">
        <w:rPr>
          <w:rFonts w:ascii="Times New Roman" w:hAnsi="Times New Roman" w:cs="Times New Roman"/>
          <w:sz w:val="24"/>
          <w:szCs w:val="24"/>
        </w:rPr>
        <w:t>91–110.</w:t>
      </w:r>
    </w:p>
    <w:p w14:paraId="1DDFF4FF" w14:textId="77777777" w:rsidR="00983F18" w:rsidRDefault="0056298B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A540F">
        <w:rPr>
          <w:rFonts w:ascii="Times New Roman" w:hAnsi="Times New Roman" w:cs="Times New Roman"/>
          <w:sz w:val="24"/>
          <w:szCs w:val="24"/>
        </w:rPr>
        <w:t>James M.R. The Apocryphal New Testament. - Лондон: TIMES LITERARY SUPPLEMENT, 1924. - 262 с.</w:t>
      </w:r>
    </w:p>
    <w:p w14:paraId="3EAFA1EA" w14:textId="065DBDC3" w:rsidR="0041458D" w:rsidRPr="006A540F" w:rsidRDefault="0041458D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458D">
        <w:rPr>
          <w:rFonts w:ascii="Times New Roman" w:hAnsi="Times New Roman" w:cs="Times New Roman"/>
          <w:sz w:val="24"/>
          <w:szCs w:val="24"/>
        </w:rPr>
        <w:t>Kaestli, Jean-Daniel,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58D">
        <w:rPr>
          <w:rFonts w:ascii="Times New Roman" w:hAnsi="Times New Roman" w:cs="Times New Roman"/>
          <w:sz w:val="24"/>
          <w:szCs w:val="24"/>
        </w:rPr>
        <w:t>Willy Rordorf. La fin de la vie de Thècle dans les manuscrits des Actes de Paul et Thècle: Édition des textes additionnels.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41458D">
        <w:rPr>
          <w:rFonts w:ascii="Times New Roman" w:hAnsi="Times New Roman" w:cs="Times New Roman"/>
          <w:sz w:val="24"/>
          <w:szCs w:val="24"/>
        </w:rPr>
        <w:t> Apocrypha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41458D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1458D">
        <w:rPr>
          <w:rFonts w:ascii="Times New Roman" w:hAnsi="Times New Roman" w:cs="Times New Roman"/>
          <w:sz w:val="24"/>
          <w:szCs w:val="24"/>
        </w:rPr>
        <w:t xml:space="preserve"> </w:t>
      </w:r>
      <w:r w:rsidRPr="006A540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25 - с. </w:t>
      </w:r>
      <w:r w:rsidRPr="0041458D">
        <w:rPr>
          <w:rFonts w:ascii="Times New Roman" w:hAnsi="Times New Roman" w:cs="Times New Roman"/>
          <w:sz w:val="24"/>
          <w:szCs w:val="24"/>
        </w:rPr>
        <w:t>9–101.</w:t>
      </w:r>
    </w:p>
    <w:p w14:paraId="3B608E0C" w14:textId="77777777" w:rsidR="00983F18" w:rsidRPr="006A540F" w:rsidRDefault="0051549A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1549A">
        <w:rPr>
          <w:rFonts w:ascii="Times New Roman" w:hAnsi="Times New Roman" w:cs="Times New Roman"/>
          <w:sz w:val="24"/>
          <w:szCs w:val="24"/>
        </w:rPr>
        <w:t>Parisot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1549A">
        <w:rPr>
          <w:rFonts w:ascii="Times New Roman" w:hAnsi="Times New Roman" w:cs="Times New Roman"/>
          <w:sz w:val="24"/>
          <w:szCs w:val="24"/>
        </w:rPr>
        <w:t>J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1549A">
        <w:rPr>
          <w:rFonts w:ascii="Times New Roman" w:hAnsi="Times New Roman" w:cs="Times New Roman"/>
          <w:sz w:val="24"/>
          <w:szCs w:val="24"/>
        </w:rPr>
        <w:t>Le dialecte de Maalula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 xml:space="preserve"> // </w:t>
      </w:r>
      <w:r w:rsidRPr="0051549A">
        <w:rPr>
          <w:rFonts w:ascii="Times New Roman" w:hAnsi="Times New Roman" w:cs="Times New Roman"/>
          <w:sz w:val="24"/>
          <w:szCs w:val="24"/>
        </w:rPr>
        <w:t>Journal Asiatique</w:t>
      </w:r>
      <w:r w:rsidRPr="006A540F">
        <w:rPr>
          <w:rFonts w:ascii="Times New Roman" w:hAnsi="Times New Roman" w:cs="Times New Roman"/>
          <w:sz w:val="24"/>
          <w:szCs w:val="24"/>
          <w:lang w:val="en-GB"/>
        </w:rPr>
        <w:t>. - 1898. -</w:t>
      </w:r>
      <w:r w:rsidRPr="0051549A">
        <w:rPr>
          <w:rFonts w:ascii="Times New Roman" w:hAnsi="Times New Roman" w:cs="Times New Roman"/>
          <w:sz w:val="24"/>
          <w:szCs w:val="24"/>
        </w:rPr>
        <w:t> </w:t>
      </w:r>
      <w:r w:rsidRPr="006A540F">
        <w:rPr>
          <w:rFonts w:ascii="Times New Roman" w:hAnsi="Times New Roman" w:cs="Times New Roman"/>
          <w:sz w:val="24"/>
          <w:szCs w:val="24"/>
        </w:rPr>
        <w:t>№</w:t>
      </w:r>
      <w:r w:rsidRPr="0051549A">
        <w:rPr>
          <w:rFonts w:ascii="Times New Roman" w:hAnsi="Times New Roman" w:cs="Times New Roman"/>
          <w:sz w:val="24"/>
          <w:szCs w:val="24"/>
        </w:rPr>
        <w:t>11.</w:t>
      </w:r>
    </w:p>
    <w:p w14:paraId="4700B61B" w14:textId="3A66B71B" w:rsidR="00935F8E" w:rsidRPr="00C75E9A" w:rsidRDefault="00935F8E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540F">
        <w:rPr>
          <w:rFonts w:ascii="Times New Roman" w:hAnsi="Times New Roman" w:cs="Times New Roman"/>
          <w:sz w:val="24"/>
          <w:szCs w:val="24"/>
        </w:rPr>
        <w:t>Spitaler A. Neue Materialien zum neuaramäischen Dialekt von Maʿlūla // Zeitschrift der Deutschen Morgenländischen Gesellschaft. - 1957. - №107</w:t>
      </w:r>
      <w:r w:rsidR="00C75E9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9FA0B8" w14:textId="15874031" w:rsidR="005028C2" w:rsidRPr="00BC61E1" w:rsidRDefault="00C75E9A" w:rsidP="00833C0A">
      <w:pPr>
        <w:pStyle w:val="ac"/>
        <w:spacing w:befor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75E9A">
        <w:rPr>
          <w:rFonts w:ascii="Times New Roman" w:hAnsi="Times New Roman" w:cs="Times New Roman"/>
          <w:sz w:val="24"/>
          <w:szCs w:val="24"/>
        </w:rPr>
        <w:t>Stillwell R. Antioch on-the-Orontes. 2: The excavations,1933-1936. - Princeton: Princeton university press, 1938. - 223 с.</w:t>
      </w:r>
    </w:p>
    <w:sectPr w:rsidR="005028C2" w:rsidRPr="00BC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7156" w14:textId="77777777" w:rsidR="000D4A05" w:rsidRDefault="000D4A05" w:rsidP="0056298B">
      <w:pPr>
        <w:spacing w:after="0" w:line="240" w:lineRule="auto"/>
      </w:pPr>
      <w:r>
        <w:separator/>
      </w:r>
    </w:p>
  </w:endnote>
  <w:endnote w:type="continuationSeparator" w:id="0">
    <w:p w14:paraId="5CBC48CD" w14:textId="77777777" w:rsidR="000D4A05" w:rsidRDefault="000D4A05" w:rsidP="005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E411" w14:textId="77777777" w:rsidR="000D4A05" w:rsidRDefault="000D4A05" w:rsidP="0056298B">
      <w:pPr>
        <w:spacing w:after="0" w:line="240" w:lineRule="auto"/>
      </w:pPr>
      <w:r>
        <w:separator/>
      </w:r>
    </w:p>
  </w:footnote>
  <w:footnote w:type="continuationSeparator" w:id="0">
    <w:p w14:paraId="686BA28E" w14:textId="77777777" w:rsidR="000D4A05" w:rsidRDefault="000D4A05" w:rsidP="0056298B">
      <w:pPr>
        <w:spacing w:after="0" w:line="240" w:lineRule="auto"/>
      </w:pPr>
      <w:r>
        <w:continuationSeparator/>
      </w:r>
    </w:p>
  </w:footnote>
  <w:footnote w:id="1">
    <w:p w14:paraId="0C19E711" w14:textId="13D43891" w:rsidR="005C019E" w:rsidRPr="000B5EF6" w:rsidRDefault="005C019E" w:rsidP="005C019E">
      <w:pPr>
        <w:pStyle w:val="ac"/>
        <w:rPr>
          <w:rFonts w:asciiTheme="majorBidi" w:hAnsiTheme="majorBidi" w:cstheme="majorBidi"/>
        </w:rPr>
      </w:pPr>
      <w:r w:rsidRPr="006A540F">
        <w:rPr>
          <w:rStyle w:val="ae"/>
          <w:rFonts w:ascii="Times New Roman" w:hAnsi="Times New Roman" w:cs="Times New Roman"/>
        </w:rPr>
        <w:footnoteRef/>
      </w:r>
      <w:r w:rsidRPr="006A540F">
        <w:rPr>
          <w:rFonts w:ascii="Times New Roman" w:hAnsi="Times New Roman" w:cs="Times New Roman"/>
        </w:rPr>
        <w:t xml:space="preserve"> </w:t>
      </w:r>
      <w:r w:rsidRPr="000B5EF6">
        <w:rPr>
          <w:rFonts w:asciiTheme="majorBidi" w:hAnsiTheme="majorBidi" w:cstheme="majorBidi"/>
        </w:rPr>
        <w:t>Arnold</w:t>
      </w:r>
      <w:r w:rsidRPr="000B5EF6">
        <w:rPr>
          <w:rFonts w:asciiTheme="majorBidi" w:hAnsiTheme="majorBidi" w:cstheme="majorBidi"/>
          <w:lang w:val="en-GB"/>
        </w:rPr>
        <w:t xml:space="preserve"> W., </w:t>
      </w:r>
      <w:r w:rsidRPr="000B5EF6">
        <w:rPr>
          <w:rFonts w:asciiTheme="majorBidi" w:hAnsiTheme="majorBidi" w:cstheme="majorBidi"/>
        </w:rPr>
        <w:t>Escher</w:t>
      </w:r>
      <w:r w:rsidRPr="000B5EF6">
        <w:rPr>
          <w:rFonts w:asciiTheme="majorBidi" w:hAnsiTheme="majorBidi" w:cstheme="majorBidi"/>
          <w:lang w:val="en-GB"/>
        </w:rPr>
        <w:t xml:space="preserve"> A., </w:t>
      </w:r>
      <w:r w:rsidRPr="000B5EF6">
        <w:rPr>
          <w:rFonts w:asciiTheme="majorBidi" w:hAnsiTheme="majorBidi" w:cstheme="majorBidi"/>
        </w:rPr>
        <w:t xml:space="preserve">Pfaffenbach, </w:t>
      </w:r>
      <w:r w:rsidRPr="000B5EF6">
        <w:rPr>
          <w:rFonts w:asciiTheme="majorBidi" w:hAnsiTheme="majorBidi" w:cstheme="majorBidi"/>
          <w:lang w:val="en-GB"/>
        </w:rPr>
        <w:t xml:space="preserve">C. </w:t>
      </w:r>
      <w:r w:rsidRPr="000B5EF6">
        <w:rPr>
          <w:rFonts w:asciiTheme="majorBidi" w:hAnsiTheme="majorBidi" w:cstheme="majorBidi"/>
        </w:rPr>
        <w:t>Malula und M'alloy. Erzählungen aus einem syrischen Dorf</w:t>
      </w:r>
      <w:r w:rsidRPr="000B5EF6">
        <w:rPr>
          <w:rFonts w:asciiTheme="majorBidi" w:hAnsiTheme="majorBidi" w:cstheme="majorBidi"/>
          <w:lang w:val="en-GB"/>
        </w:rPr>
        <w:t xml:space="preserve">. – </w:t>
      </w:r>
      <w:r w:rsidRPr="000B5EF6">
        <w:rPr>
          <w:rFonts w:asciiTheme="majorBidi" w:hAnsiTheme="majorBidi" w:cstheme="majorBidi"/>
        </w:rPr>
        <w:t>Würzburg</w:t>
      </w:r>
      <w:r w:rsidRPr="000B5EF6">
        <w:rPr>
          <w:rFonts w:asciiTheme="majorBidi" w:hAnsiTheme="majorBidi" w:cstheme="majorBidi"/>
          <w:lang w:val="en-GB"/>
        </w:rPr>
        <w:t>:</w:t>
      </w:r>
      <w:r w:rsidRPr="000B5EF6">
        <w:rPr>
          <w:rFonts w:asciiTheme="majorBidi" w:hAnsiTheme="majorBidi" w:cstheme="majorBidi"/>
        </w:rPr>
        <w:t xml:space="preserve"> Bibliotheca Academica, Reihe Orientalistik, Bd. 9,</w:t>
      </w:r>
      <w:r w:rsidRPr="000B5EF6">
        <w:rPr>
          <w:rFonts w:asciiTheme="majorBidi" w:hAnsiTheme="majorBidi" w:cstheme="majorBidi"/>
          <w:lang w:val="en-GB"/>
        </w:rPr>
        <w:t xml:space="preserve"> </w:t>
      </w:r>
      <w:r w:rsidRPr="000B5EF6">
        <w:rPr>
          <w:rFonts w:asciiTheme="majorBidi" w:hAnsiTheme="majorBidi" w:cstheme="majorBidi"/>
        </w:rPr>
        <w:t>2004.</w:t>
      </w:r>
    </w:p>
  </w:footnote>
  <w:footnote w:id="2">
    <w:p w14:paraId="50248753" w14:textId="73870B46" w:rsidR="00517CB0" w:rsidRPr="000B5EF6" w:rsidRDefault="00517CB0">
      <w:pPr>
        <w:pStyle w:val="ac"/>
        <w:rPr>
          <w:rFonts w:asciiTheme="majorBidi" w:hAnsiTheme="majorBidi" w:cstheme="majorBidi"/>
          <w:lang w:val="en-GB"/>
        </w:rPr>
      </w:pPr>
      <w:r w:rsidRPr="000B5EF6">
        <w:rPr>
          <w:rStyle w:val="ae"/>
          <w:rFonts w:asciiTheme="majorBidi" w:hAnsiTheme="majorBidi" w:cstheme="majorBidi"/>
        </w:rPr>
        <w:footnoteRef/>
      </w:r>
      <w:r w:rsidRPr="000B5EF6">
        <w:rPr>
          <w:rFonts w:asciiTheme="majorBidi" w:hAnsiTheme="majorBidi" w:cstheme="majorBidi"/>
        </w:rPr>
        <w:t xml:space="preserve"> Arnold W.</w:t>
      </w:r>
      <w:r w:rsidRPr="000B5EF6">
        <w:rPr>
          <w:rFonts w:asciiTheme="majorBidi" w:hAnsiTheme="majorBidi" w:cstheme="majorBidi"/>
          <w:lang w:val="en-GB"/>
        </w:rPr>
        <w:t xml:space="preserve"> </w:t>
      </w:r>
      <w:r w:rsidR="00E34462" w:rsidRPr="000B5EF6">
        <w:rPr>
          <w:rFonts w:asciiTheme="majorBidi" w:hAnsiTheme="majorBidi" w:cstheme="majorBidi"/>
          <w:lang w:val="en-GB"/>
        </w:rPr>
        <w:t>Das Neuwestaramäische. III. c. 220</w:t>
      </w:r>
      <w:r w:rsidRPr="000B5EF6">
        <w:rPr>
          <w:rFonts w:asciiTheme="majorBidi" w:hAnsiTheme="majorBidi" w:cstheme="majorBidi"/>
          <w:lang w:val="en-GB"/>
        </w:rPr>
        <w:t xml:space="preserve">; </w:t>
      </w:r>
      <w:r w:rsidRPr="000B5EF6">
        <w:rPr>
          <w:rFonts w:asciiTheme="majorBidi" w:hAnsiTheme="majorBidi" w:cstheme="majorBidi"/>
        </w:rPr>
        <w:t>Arnold W.</w:t>
      </w:r>
      <w:r w:rsidRPr="000B5EF6">
        <w:rPr>
          <w:rFonts w:asciiTheme="majorBidi" w:hAnsiTheme="majorBidi" w:cstheme="majorBidi"/>
          <w:lang w:val="en-GB"/>
        </w:rPr>
        <w:t xml:space="preserve"> Das Neuwestaramäische. IV. c. 218.</w:t>
      </w:r>
    </w:p>
  </w:footnote>
  <w:footnote w:id="3">
    <w:p w14:paraId="51D82408" w14:textId="021C3ED0" w:rsidR="00517CB0" w:rsidRPr="000B5EF6" w:rsidRDefault="00517CB0">
      <w:pPr>
        <w:pStyle w:val="ac"/>
        <w:rPr>
          <w:rFonts w:asciiTheme="majorBidi" w:hAnsiTheme="majorBidi" w:cstheme="majorBidi"/>
        </w:rPr>
      </w:pPr>
      <w:r w:rsidRPr="000B5EF6">
        <w:rPr>
          <w:rStyle w:val="ae"/>
          <w:rFonts w:asciiTheme="majorBidi" w:hAnsiTheme="majorBidi" w:cstheme="majorBidi"/>
        </w:rPr>
        <w:footnoteRef/>
      </w:r>
      <w:r w:rsidRPr="000B5EF6">
        <w:rPr>
          <w:rFonts w:asciiTheme="majorBidi" w:hAnsiTheme="majorBidi" w:cstheme="majorBidi"/>
        </w:rPr>
        <w:t xml:space="preserve"> </w:t>
      </w:r>
      <w:r w:rsidRPr="000B5EF6">
        <w:rPr>
          <w:rFonts w:asciiTheme="majorBidi" w:hAnsiTheme="majorBidi" w:cstheme="majorBidi"/>
          <w:lang w:val="en-GB"/>
        </w:rPr>
        <w:t>Life of Yawse Sharbita and Saint Thecla in Maaloula (</w:t>
      </w:r>
      <w:r w:rsidRPr="000B5EF6">
        <w:rPr>
          <w:rFonts w:asciiTheme="majorBidi" w:hAnsiTheme="majorBidi" w:cstheme="majorBidi"/>
        </w:rPr>
        <w:t>готовится к публикации).</w:t>
      </w:r>
    </w:p>
  </w:footnote>
  <w:footnote w:id="4">
    <w:p w14:paraId="3FA3B279" w14:textId="0C7774AF" w:rsidR="00517CB0" w:rsidRPr="000B5EF6" w:rsidRDefault="00517CB0">
      <w:pPr>
        <w:pStyle w:val="ac"/>
        <w:rPr>
          <w:rFonts w:asciiTheme="majorBidi" w:hAnsiTheme="majorBidi" w:cstheme="majorBidi"/>
        </w:rPr>
      </w:pPr>
      <w:r w:rsidRPr="000B5EF6">
        <w:rPr>
          <w:rStyle w:val="ae"/>
          <w:rFonts w:asciiTheme="majorBidi" w:hAnsiTheme="majorBidi" w:cstheme="majorBidi"/>
        </w:rPr>
        <w:footnoteRef/>
      </w:r>
      <w:r w:rsidRPr="000B5EF6">
        <w:rPr>
          <w:rFonts w:asciiTheme="majorBidi" w:hAnsiTheme="majorBidi" w:cstheme="majorBidi"/>
        </w:rPr>
        <w:t xml:space="preserve"> Данные, собранные в</w:t>
      </w:r>
      <w:r w:rsidR="00983F18" w:rsidRPr="000B5EF6">
        <w:rPr>
          <w:rFonts w:asciiTheme="majorBidi" w:hAnsiTheme="majorBidi" w:cstheme="majorBidi"/>
        </w:rPr>
        <w:t>о время полевой работы в Маалуле.</w:t>
      </w:r>
    </w:p>
  </w:footnote>
  <w:footnote w:id="5">
    <w:p w14:paraId="0ADC331D" w14:textId="4DCBDAF4" w:rsidR="00BC61E1" w:rsidRPr="00BC61E1" w:rsidRDefault="00BC61E1" w:rsidP="00BC61E1">
      <w:pPr>
        <w:pStyle w:val="ac"/>
        <w:rPr>
          <w:lang w:val="en-GB"/>
        </w:rPr>
      </w:pPr>
      <w:r w:rsidRPr="000B5EF6">
        <w:rPr>
          <w:rStyle w:val="ae"/>
          <w:rFonts w:asciiTheme="majorBidi" w:hAnsiTheme="majorBidi" w:cstheme="majorBidi"/>
        </w:rPr>
        <w:footnoteRef/>
      </w:r>
      <w:r w:rsidRPr="000B5EF6">
        <w:rPr>
          <w:rFonts w:asciiTheme="majorBidi" w:hAnsiTheme="majorBidi" w:cstheme="majorBidi"/>
        </w:rPr>
        <w:t xml:space="preserve"> Acts of Paul and Thecla // NASSCAL: The North American Society for the Study of Christian Apocryphal Literature URL: https://www.nasscal.com/e-clavis-christian-apocrypha/acts-of-paul-and-thecla/ (дата обращения: 08.03.2025).</w:t>
      </w:r>
    </w:p>
  </w:footnote>
  <w:footnote w:id="6">
    <w:p w14:paraId="6DCA7F02" w14:textId="2944E67C" w:rsidR="0056298B" w:rsidRPr="00833C0A" w:rsidRDefault="0056298B" w:rsidP="00983F18">
      <w:pPr>
        <w:spacing w:after="0"/>
        <w:rPr>
          <w:rFonts w:asciiTheme="majorBidi" w:hAnsiTheme="majorBidi" w:cstheme="majorBidi"/>
          <w:lang w:val="en-GB"/>
        </w:rPr>
      </w:pPr>
      <w:r w:rsidRPr="00833C0A">
        <w:rPr>
          <w:rStyle w:val="ae"/>
          <w:rFonts w:asciiTheme="majorBidi" w:hAnsiTheme="majorBidi" w:cstheme="majorBidi"/>
          <w:sz w:val="20"/>
          <w:szCs w:val="20"/>
        </w:rPr>
        <w:footnoteRef/>
      </w:r>
      <w:r w:rsidRPr="00833C0A">
        <w:rPr>
          <w:rFonts w:asciiTheme="majorBidi" w:hAnsiTheme="majorBidi" w:cstheme="majorBidi"/>
          <w:sz w:val="20"/>
          <w:szCs w:val="20"/>
        </w:rPr>
        <w:t xml:space="preserve"> James M.R. The Apocryphal New Testament. - Лондон: TIMES LITERARY SUPPLEMENT, 1924.</w:t>
      </w:r>
    </w:p>
  </w:footnote>
  <w:footnote w:id="7">
    <w:p w14:paraId="2A8FA0D7" w14:textId="7961CF63" w:rsidR="00983F18" w:rsidRPr="00833C0A" w:rsidRDefault="00983F18" w:rsidP="00983F18">
      <w:pPr>
        <w:pStyle w:val="ac"/>
        <w:rPr>
          <w:rFonts w:asciiTheme="majorBidi" w:hAnsiTheme="majorBidi" w:cstheme="majorBidi"/>
        </w:rPr>
      </w:pPr>
      <w:r w:rsidRPr="00833C0A">
        <w:rPr>
          <w:rStyle w:val="ae"/>
          <w:rFonts w:asciiTheme="majorBidi" w:hAnsiTheme="majorBidi" w:cstheme="majorBidi"/>
        </w:rPr>
        <w:footnoteRef/>
      </w:r>
      <w:r w:rsidRPr="00833C0A">
        <w:rPr>
          <w:rFonts w:asciiTheme="majorBidi" w:hAnsiTheme="majorBidi" w:cstheme="majorBidi"/>
        </w:rPr>
        <w:t xml:space="preserve"> Arnold W. Das Neuwestaramäische. III. c. 222.</w:t>
      </w:r>
    </w:p>
  </w:footnote>
  <w:footnote w:id="8">
    <w:p w14:paraId="34AF6FE1" w14:textId="3989A292" w:rsidR="006A540F" w:rsidRPr="00833C0A" w:rsidRDefault="006A540F">
      <w:pPr>
        <w:pStyle w:val="ac"/>
        <w:rPr>
          <w:rFonts w:asciiTheme="majorBidi" w:hAnsiTheme="majorBidi" w:cstheme="majorBidi"/>
        </w:rPr>
      </w:pPr>
      <w:r w:rsidRPr="00833C0A">
        <w:rPr>
          <w:rStyle w:val="ae"/>
          <w:rFonts w:asciiTheme="majorBidi" w:hAnsiTheme="majorBidi" w:cstheme="majorBidi"/>
        </w:rPr>
        <w:footnoteRef/>
      </w:r>
      <w:r w:rsidRPr="00833C0A">
        <w:rPr>
          <w:rFonts w:asciiTheme="majorBidi" w:hAnsiTheme="majorBidi" w:cstheme="majorBidi"/>
        </w:rPr>
        <w:t xml:space="preserve"> Arnold W. Das Neuwestaramäische. I</w:t>
      </w:r>
      <w:r w:rsidRPr="00833C0A">
        <w:rPr>
          <w:rFonts w:asciiTheme="majorBidi" w:hAnsiTheme="majorBidi" w:cstheme="majorBidi"/>
          <w:lang w:val="en-GB"/>
        </w:rPr>
        <w:t>V</w:t>
      </w:r>
      <w:r w:rsidRPr="00833C0A">
        <w:rPr>
          <w:rFonts w:asciiTheme="majorBidi" w:hAnsiTheme="majorBidi" w:cstheme="majorBidi"/>
        </w:rPr>
        <w:t>. c. 22</w:t>
      </w:r>
      <w:r w:rsidRPr="00833C0A">
        <w:rPr>
          <w:rFonts w:asciiTheme="majorBidi" w:hAnsiTheme="majorBidi" w:cstheme="majorBidi"/>
          <w:lang w:val="en-GB"/>
        </w:rPr>
        <w:t>0</w:t>
      </w:r>
      <w:r w:rsidRPr="00833C0A">
        <w:rPr>
          <w:rFonts w:asciiTheme="majorBidi" w:hAnsiTheme="majorBidi" w:cstheme="majorBidi"/>
        </w:rPr>
        <w:t>.</w:t>
      </w:r>
    </w:p>
  </w:footnote>
  <w:footnote w:id="9">
    <w:p w14:paraId="720B6A50" w14:textId="7B48DAFC" w:rsidR="00BC61E1" w:rsidRPr="00833C0A" w:rsidRDefault="00BC61E1" w:rsidP="00BC61E1">
      <w:pPr>
        <w:pStyle w:val="ac"/>
        <w:rPr>
          <w:rFonts w:asciiTheme="majorBidi" w:hAnsiTheme="majorBidi" w:cstheme="majorBidi"/>
        </w:rPr>
      </w:pPr>
      <w:r w:rsidRPr="00833C0A">
        <w:rPr>
          <w:rStyle w:val="ae"/>
          <w:rFonts w:asciiTheme="majorBidi" w:hAnsiTheme="majorBidi" w:cstheme="majorBidi"/>
        </w:rPr>
        <w:footnoteRef/>
      </w:r>
      <w:r w:rsidRPr="00833C0A">
        <w:rPr>
          <w:rFonts w:asciiTheme="majorBidi" w:hAnsiTheme="majorBidi" w:cstheme="majorBidi"/>
        </w:rPr>
        <w:t xml:space="preserve"> Подробную библиографию см. Acts of Paul and Thecla // NASSCAL: The North American Society for the Study of Christian Apocryphal Literature URL: https://www.nasscal.com/e-clavis-christian-apocrypha/acts-of-paul-and-thecla/ (дата обращения: 08.03.2025).</w:t>
      </w:r>
    </w:p>
  </w:footnote>
  <w:footnote w:id="10">
    <w:p w14:paraId="0267E9A4" w14:textId="1146E12C" w:rsidR="00E23172" w:rsidRPr="005028C2" w:rsidRDefault="00E23172" w:rsidP="00E23172">
      <w:pPr>
        <w:pStyle w:val="ac"/>
        <w:rPr>
          <w:rFonts w:ascii="Times New Roman" w:hAnsi="Times New Roman" w:cs="Times New Roman"/>
        </w:rPr>
      </w:pPr>
      <w:r w:rsidRPr="00833C0A">
        <w:rPr>
          <w:rStyle w:val="ae"/>
          <w:rFonts w:asciiTheme="majorBidi" w:hAnsiTheme="majorBidi" w:cstheme="majorBidi"/>
        </w:rPr>
        <w:footnoteRef/>
      </w:r>
      <w:r w:rsidRPr="00833C0A">
        <w:rPr>
          <w:rFonts w:asciiTheme="majorBidi" w:hAnsiTheme="majorBidi" w:cstheme="majorBidi"/>
        </w:rPr>
        <w:t xml:space="preserve"> </w:t>
      </w:r>
      <w:r w:rsidR="00BC61E1" w:rsidRPr="00833C0A">
        <w:rPr>
          <w:rFonts w:asciiTheme="majorBidi" w:hAnsiTheme="majorBidi" w:cstheme="majorBidi"/>
        </w:rPr>
        <w:t>James M.R. The Apocryphal New Testament. - Лондон: TIMES LITERARY SUPPLEMENT, 1924. - 262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B4E"/>
    <w:multiLevelType w:val="multilevel"/>
    <w:tmpl w:val="B4F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A47DE"/>
    <w:multiLevelType w:val="multilevel"/>
    <w:tmpl w:val="BDA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F4D3E"/>
    <w:multiLevelType w:val="hybridMultilevel"/>
    <w:tmpl w:val="09B81D26"/>
    <w:lvl w:ilvl="0" w:tplc="F78C5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3908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74027725">
    <w:abstractNumId w:val="2"/>
  </w:num>
  <w:num w:numId="3" w16cid:durableId="121412037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14"/>
    <w:rsid w:val="0001143D"/>
    <w:rsid w:val="00044F76"/>
    <w:rsid w:val="000B5EF6"/>
    <w:rsid w:val="000C47E2"/>
    <w:rsid w:val="000C7FB7"/>
    <w:rsid w:val="000D4A05"/>
    <w:rsid w:val="000E5BCD"/>
    <w:rsid w:val="00111703"/>
    <w:rsid w:val="001606B7"/>
    <w:rsid w:val="001B2466"/>
    <w:rsid w:val="001E1BA9"/>
    <w:rsid w:val="001F7DCC"/>
    <w:rsid w:val="00253266"/>
    <w:rsid w:val="00273917"/>
    <w:rsid w:val="00282D94"/>
    <w:rsid w:val="00285BDD"/>
    <w:rsid w:val="0029419C"/>
    <w:rsid w:val="002963AA"/>
    <w:rsid w:val="002A3336"/>
    <w:rsid w:val="002B0083"/>
    <w:rsid w:val="002E535C"/>
    <w:rsid w:val="0030153E"/>
    <w:rsid w:val="00334645"/>
    <w:rsid w:val="00382643"/>
    <w:rsid w:val="003E467B"/>
    <w:rsid w:val="003F021B"/>
    <w:rsid w:val="0041458D"/>
    <w:rsid w:val="004307B7"/>
    <w:rsid w:val="00475969"/>
    <w:rsid w:val="005028C2"/>
    <w:rsid w:val="0051549A"/>
    <w:rsid w:val="00517CB0"/>
    <w:rsid w:val="00536110"/>
    <w:rsid w:val="005553D2"/>
    <w:rsid w:val="0056298B"/>
    <w:rsid w:val="005A324A"/>
    <w:rsid w:val="005C019E"/>
    <w:rsid w:val="0060262C"/>
    <w:rsid w:val="0061738E"/>
    <w:rsid w:val="00634955"/>
    <w:rsid w:val="00651553"/>
    <w:rsid w:val="006A311F"/>
    <w:rsid w:val="006A540F"/>
    <w:rsid w:val="006F3880"/>
    <w:rsid w:val="00722725"/>
    <w:rsid w:val="00724CEB"/>
    <w:rsid w:val="00767B2D"/>
    <w:rsid w:val="007948DD"/>
    <w:rsid w:val="007A5C3C"/>
    <w:rsid w:val="007B3290"/>
    <w:rsid w:val="007B34EA"/>
    <w:rsid w:val="007B51AE"/>
    <w:rsid w:val="007D2337"/>
    <w:rsid w:val="007F495A"/>
    <w:rsid w:val="007F5F00"/>
    <w:rsid w:val="00825E0D"/>
    <w:rsid w:val="00833C0A"/>
    <w:rsid w:val="008B28AB"/>
    <w:rsid w:val="008D5C4B"/>
    <w:rsid w:val="00935F8E"/>
    <w:rsid w:val="0094258A"/>
    <w:rsid w:val="00947A6A"/>
    <w:rsid w:val="009719FC"/>
    <w:rsid w:val="00983F18"/>
    <w:rsid w:val="00983F6A"/>
    <w:rsid w:val="009A4E36"/>
    <w:rsid w:val="009B1315"/>
    <w:rsid w:val="009E134B"/>
    <w:rsid w:val="009E4A0B"/>
    <w:rsid w:val="009F2DA7"/>
    <w:rsid w:val="009F5BD6"/>
    <w:rsid w:val="00A03013"/>
    <w:rsid w:val="00A4667A"/>
    <w:rsid w:val="00AB4288"/>
    <w:rsid w:val="00AE3D23"/>
    <w:rsid w:val="00AF16AC"/>
    <w:rsid w:val="00B22828"/>
    <w:rsid w:val="00B6321B"/>
    <w:rsid w:val="00BC61E1"/>
    <w:rsid w:val="00BF00CA"/>
    <w:rsid w:val="00BF1A14"/>
    <w:rsid w:val="00C15647"/>
    <w:rsid w:val="00C5334C"/>
    <w:rsid w:val="00C6517E"/>
    <w:rsid w:val="00C75E9A"/>
    <w:rsid w:val="00CB7496"/>
    <w:rsid w:val="00CD7F99"/>
    <w:rsid w:val="00D808E1"/>
    <w:rsid w:val="00D9374B"/>
    <w:rsid w:val="00DA251F"/>
    <w:rsid w:val="00DB0DD9"/>
    <w:rsid w:val="00DE417A"/>
    <w:rsid w:val="00DE745C"/>
    <w:rsid w:val="00E03AA1"/>
    <w:rsid w:val="00E16E27"/>
    <w:rsid w:val="00E23172"/>
    <w:rsid w:val="00E34462"/>
    <w:rsid w:val="00EA2497"/>
    <w:rsid w:val="00F140D0"/>
    <w:rsid w:val="00F923BE"/>
    <w:rsid w:val="00F945A0"/>
    <w:rsid w:val="00F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4255"/>
  <w15:chartTrackingRefBased/>
  <w15:docId w15:val="{5AF42AE8-F036-40B9-B550-0AF5AD55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A1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56298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6298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6298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6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A540F"/>
  </w:style>
  <w:style w:type="paragraph" w:styleId="af1">
    <w:name w:val="footer"/>
    <w:basedOn w:val="a"/>
    <w:link w:val="af2"/>
    <w:uiPriority w:val="99"/>
    <w:unhideWhenUsed/>
    <w:rsid w:val="006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A540F"/>
  </w:style>
  <w:style w:type="character" w:styleId="af3">
    <w:name w:val="Hyperlink"/>
    <w:basedOn w:val="a0"/>
    <w:uiPriority w:val="99"/>
    <w:unhideWhenUsed/>
    <w:rsid w:val="006A540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A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hnikol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bromirskaya@edu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8ED3-F4F3-479F-9B9F-1710E06F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Гришин</dc:creator>
  <cp:keywords/>
  <dc:description/>
  <cp:lastModifiedBy>Николай Гришин</cp:lastModifiedBy>
  <cp:revision>6</cp:revision>
  <dcterms:created xsi:type="dcterms:W3CDTF">2025-03-09T17:08:00Z</dcterms:created>
  <dcterms:modified xsi:type="dcterms:W3CDTF">2025-03-09T20:08:00Z</dcterms:modified>
</cp:coreProperties>
</file>