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0F5B1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Процесс трансплантации советской экономической системы в КНР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</w:rPr>
        <w:t>: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на примере развития промышленности в провинции Хунань</w:t>
      </w:r>
    </w:p>
    <w:p w14:paraId="23CA21EE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Аспирант</w:t>
      </w:r>
    </w:p>
    <w:p w14:paraId="26AA477E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Ван Кайлун</w:t>
      </w:r>
    </w:p>
    <w:p w14:paraId="4EB58D80">
      <w:pPr>
        <w:jc w:val="center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Российский университет дружбы народов</w:t>
      </w:r>
    </w:p>
    <w:p w14:paraId="1FE7E5BB">
      <w:pPr>
        <w:jc w:val="center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Факультет гуманитарных и социальных наук , Москва, Россия</w:t>
      </w:r>
    </w:p>
    <w:p w14:paraId="1B9D9CB6">
      <w:pPr>
        <w:jc w:val="center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E–mail: 1042248149@pfur.ru</w:t>
      </w:r>
    </w:p>
    <w:p w14:paraId="31D1B771"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ru-RU"/>
        </w:rPr>
        <w:t>Введение</w:t>
      </w:r>
    </w:p>
    <w:p w14:paraId="24C99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период холодной войны трансплантация экономической системы стран социалистического лагеря стала важным инструментом модернизации и преобразования развивающихся стран после Второй мировой войны.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 1949 года КНР выбрала курс на «использование СССР в качестве учителя».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[1]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течение первой пятилетки была создана системная основа для перехода к централизованным институтам.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Провинция Хунань являлась ключевым регионом, на который пришлось 12% от общего числа 156 ключевых промышленных проектов.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Практика трансплантации советской экономической модели в Хунани одновременно типична и уникальна, что делает этот регион значимым объектом для изучения процессов локализации плановой экономики.</w:t>
      </w:r>
    </w:p>
    <w:p w14:paraId="7C2D9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Большинство существующих исследований сосредоточено на внедрении советской модели на национальном уровне. Однако до сих пор остается малоизученным вопрос о механизмах и последствиях трансплантации на региональном уровне.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Опыт провинции Хунань показал, что заимствование советской экономической системы осуществлялось не только через конкретные управленческие механизмы, такие как форма организации предприятий и система управления, но и определило основные структурные характеристики индустриализации.Эти характеристики включают приоритетное развитие тяжелой промышленности, вертикальную систему распределения материальных ресурсов и стандартизированные технические нормы. В данной статье рассматриваются (использование историко-сравнительного метода) ключевые аспекты трансплантации советской экономической системы в промышленность КНР на примере провинции Хунань.</w:t>
      </w:r>
      <w:bookmarkStart w:id="0" w:name="_GoBack"/>
      <w:bookmarkEnd w:id="0"/>
    </w:p>
    <w:p w14:paraId="54D62034">
      <w:pPr>
        <w:jc w:val="both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 w:eastAsia="zh-CN"/>
        </w:rPr>
        <w:t>Глава I. Имитация организационных форм предприятий</w:t>
      </w:r>
    </w:p>
    <w:p w14:paraId="00428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Предприятия провинции Хунань переняли коллективистские принципы, заимствованные из практики СССР, и ввели на предприятиях коллективную собственность. Такая система подчеркивала важность коллективных интересов и тесно увязывала личные и коллективные интересы.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В советской модели предприятия рассматривались как коллективная собственность общества, а не частная собственность отдельных лиц. Этот подход был широко применен при индустриализации Хунани.</w:t>
      </w:r>
    </w:p>
    <w:p w14:paraId="06AE8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Внедрение системы коллективной собственности помогло централизовать усилия и сформировать синергию, что способствовало быстрому развитию промышленности Хунани. </w:t>
      </w:r>
    </w:p>
    <w:p w14:paraId="1A83B667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 w:eastAsia="zh-CN"/>
        </w:rPr>
        <w:t>Глава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</w:rPr>
        <w:t>II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 w:eastAsia="zh-CN"/>
        </w:rPr>
        <w:t>. Трансплантация моделей управления</w:t>
      </w:r>
    </w:p>
    <w:p w14:paraId="1FA02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В процессе индустриализации СССР система единоначалия постепенно стала доминирующей формой управления предприятиями. Провинция Хунань также внедрила эту систему в 1950-х годах. На предприятиях был разработан ряд экономических и технических показателей. Также были созданы системы первичного учета и статистического анализа для обеспечения нормального функционирования производства.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Внедрение единоначалия повысило эффективность управления предприятием, обеспечило централизованный контроль над производством и эксплуатацией, а также стало надежной гарантией плавного развития индустриализации в провинции Хунань.</w:t>
      </w:r>
    </w:p>
    <w:p w14:paraId="3E556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>В области управления материальными ресурсами провинция Хунань также переняла опыт высокоцентрализованной и унифицированной модели управления СССР.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]</w:t>
      </w:r>
    </w:p>
    <w:p w14:paraId="139C6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>Единая система управления материальными ресурсами позволила сократить количество промежуточных звеньев, повысить эффективность логистики, а также обеспечить своевременную поставку и рациональное распределение материалов. Эта система сыграла положительную роль, позволив сконцентрировать ограниченные в то время человеческие, материальные и финансовые ресурсы. Это, в свою очередь, обеспечило удовлетворение самых насущных потребностей населения, способствовало преодолению бедности и отсталости, а также ускорило оживление экономики, которая всё ещё находилась в процессе восстановления.</w:t>
      </w:r>
    </w:p>
    <w:p w14:paraId="1F14C2E0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 w:eastAsia="zh-CN"/>
        </w:rPr>
        <w:t>Глава III. Идейное воспитание</w:t>
      </w:r>
    </w:p>
    <w:p w14:paraId="2AB75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Помимо заимствования организационных форм и моделей управления, в провинции Хунань большое внимание уделялось идеологическому воспитанию кадров в духе советской экономической системы. Теоретическое изучение основ советской плановой экономики стало важной частью подготовки государственных и ведомственных кадров провинции Хунань, начиная с 1949 года.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]</w:t>
      </w:r>
    </w:p>
    <w:p w14:paraId="20BA9DA5">
      <w:pPr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>Заключение</w:t>
      </w:r>
    </w:p>
    <w:p w14:paraId="4378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>Очевидно, что процесс трансплантации советской экономической системы в провинцию Хунань — сложное и многогранное историческое явление. Благодаря подражанию организационным формам предприятий, переносу моделей управления, а также проведению идеологических и образовательных мероприятий провинция Хунань успешно перенесла советскую экономическую систему в местную экономику и обеспечила поступательное продвижение процесса индустриализации. Этот процесс не только оказал мощную поддержку экономическому развитию провинции Хунань, но и послужил ценным ориентиром и источником вдохновения для последующей трансплантации зарубежных систем в других регионах.</w:t>
      </w:r>
    </w:p>
    <w:p w14:paraId="683E6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ru-RU" w:eastAsia="zh-CN"/>
        </w:rPr>
        <w:t>Литература</w:t>
      </w:r>
    </w:p>
    <w:p w14:paraId="2512F7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刘少奇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在中苏友好协会总会成立大会上的报告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[J].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人民日报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, 1949, 10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 xml:space="preserve">(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Лю Шаоци. Отчет об учредительном собрании Общества китайско-советской дружбы Генеральной ассоциации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[J].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Жэньминь жибао (Ежедневная народная газета), 1949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>. С.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>)</w:t>
      </w:r>
    </w:p>
    <w:p w14:paraId="07B3F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 xml:space="preserve"> 2.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莫兰琼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>156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项工程”的确立及历史贡献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上海经济研究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 xml:space="preserve">. 2023.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第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期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>. ( Мо Ланьцюн. Становление и исторический вклад «156  Промышленных Проектов». Шанхайские экономические исследования, 2023. № 9.)</w:t>
      </w:r>
    </w:p>
    <w:p w14:paraId="34D41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 xml:space="preserve"> 3. </w:t>
      </w:r>
      <w:r>
        <w:rPr>
          <w:rFonts w:hint="eastAsia" w:ascii="Times New Roman" w:hAnsi="Times New Roman" w:eastAsia="宋体" w:cs="Times New Roman"/>
          <w:sz w:val="24"/>
          <w:szCs w:val="24"/>
          <w:lang w:val="ru-RU" w:eastAsia="zh-CN"/>
        </w:rPr>
        <w:t>古丈县志编纂委员会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ru-RU" w:eastAsia="zh-CN"/>
        </w:rPr>
        <w:t>古丈县志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ru-RU" w:eastAsia="zh-CN"/>
        </w:rPr>
        <w:t>巴蜀书社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 xml:space="preserve">, </w:t>
      </w:r>
      <w:r>
        <w:rPr>
          <w:rFonts w:hint="eastAsia" w:ascii="Times New Roman" w:hAnsi="Times New Roman" w:eastAsia="宋体" w:cs="Times New Roman"/>
          <w:sz w:val="24"/>
          <w:szCs w:val="24"/>
          <w:lang w:val="ru-RU" w:eastAsia="zh-CN"/>
        </w:rPr>
        <w:t>1989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ru-RU" w:eastAsia="zh-CN"/>
        </w:rPr>
        <w:t>281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>. ( Комитет по составлению хроники уезда Гучжан . Хроника Гучжан. Башу Шуша (типография Башу), 1989. С. 281.)</w:t>
      </w:r>
    </w:p>
    <w:p w14:paraId="4695C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 xml:space="preserve"> 4. </w:t>
      </w:r>
      <w:r>
        <w:rPr>
          <w:rFonts w:hint="eastAsia" w:ascii="Times New Roman" w:hAnsi="Times New Roman" w:eastAsia="宋体" w:cs="Times New Roman"/>
          <w:sz w:val="24"/>
          <w:szCs w:val="24"/>
          <w:lang w:val="ru-RU" w:eastAsia="zh-CN"/>
        </w:rPr>
        <w:t>衡阳市地方志编纂委员会.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ru-RU" w:eastAsia="zh-CN"/>
        </w:rPr>
        <w:t>衡阳市志. 湖南人民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出版社，</w:t>
      </w:r>
      <w:r>
        <w:rPr>
          <w:rFonts w:hint="eastAsia" w:ascii="Times New Roman" w:hAnsi="Times New Roman" w:eastAsia="宋体" w:cs="Times New Roman"/>
          <w:sz w:val="24"/>
          <w:szCs w:val="24"/>
          <w:lang w:val="ru-RU" w:eastAsia="zh-CN"/>
        </w:rPr>
        <w:t>1996. 2434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>. (Комитет по составлению местной хроники города Хэнъян. Хроника города Хэнъян. Хунаньское народное издательство, 1996. С. 2434.)</w:t>
      </w:r>
    </w:p>
    <w:p w14:paraId="77DD9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 xml:space="preserve">5. </w:t>
      </w:r>
      <w:r>
        <w:rPr>
          <w:rFonts w:hint="eastAsia" w:ascii="Times New Roman" w:hAnsi="Times New Roman" w:eastAsia="宋体" w:cs="Times New Roman"/>
          <w:sz w:val="24"/>
          <w:szCs w:val="24"/>
          <w:lang w:val="ru-RU" w:eastAsia="zh-CN"/>
        </w:rPr>
        <w:t>衡阳市地方志编纂委员会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ru-RU" w:eastAsia="zh-CN"/>
        </w:rPr>
        <w:t>衡阳志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ru-RU" w:eastAsia="zh-CN"/>
        </w:rPr>
        <w:t>湖南人民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出版社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 xml:space="preserve">, </w:t>
      </w:r>
      <w:r>
        <w:rPr>
          <w:rFonts w:hint="eastAsia" w:ascii="Times New Roman" w:hAnsi="Times New Roman" w:eastAsia="宋体" w:cs="Times New Roman"/>
          <w:sz w:val="24"/>
          <w:szCs w:val="24"/>
          <w:lang w:val="ru-RU" w:eastAsia="zh-CN"/>
        </w:rPr>
        <w:t>1998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ru-RU" w:eastAsia="zh-CN"/>
        </w:rPr>
        <w:t>328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>. (Комитет по составлению местной хроники города Хэнъян. Хроника города Хэнъян. Хунаньское народное издательство, 1998. С. 328.)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28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B52C"/>
    <w:multiLevelType w:val="singleLevel"/>
    <w:tmpl w:val="3EBBB52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F5B5D"/>
    <w:rsid w:val="07ED44BE"/>
    <w:rsid w:val="0BDA11FD"/>
    <w:rsid w:val="243E45C7"/>
    <w:rsid w:val="26B3018D"/>
    <w:rsid w:val="359C73A0"/>
    <w:rsid w:val="377F1F9A"/>
    <w:rsid w:val="3F52287D"/>
    <w:rsid w:val="425F778B"/>
    <w:rsid w:val="4C4F5B5D"/>
    <w:rsid w:val="61BA4B64"/>
    <w:rsid w:val="62F92E8C"/>
    <w:rsid w:val="6F881820"/>
    <w:rsid w:val="71A62431"/>
    <w:rsid w:val="754C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footnote reference"/>
    <w:basedOn w:val="5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99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2025-03-07T15:26:00Z</dcterms:created>
  <dc:creator>王凯龙</dc:creator>
  <cp:lastModifiedBy>王凯龙</cp:lastModifiedBy>
  <dcterms:modified xsi:type="dcterms:W3CDTF">2025-03-09T17:11:43Z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3BF31219469F42B3952FD267918057E7_13</vt:lpwstr>
  </property>
</Properties>
</file>