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F4D73" w14:textId="06D88E99" w:rsidR="00BA0FD3" w:rsidRPr="00131AE9" w:rsidRDefault="00131AE9" w:rsidP="00131AE9">
      <w:pPr>
        <w:spacing w:line="240" w:lineRule="auto"/>
        <w:jc w:val="center"/>
        <w:rPr>
          <w:b/>
          <w:bCs/>
        </w:rPr>
      </w:pPr>
      <w:r w:rsidRPr="00131AE9">
        <w:rPr>
          <w:b/>
          <w:bCs/>
        </w:rPr>
        <w:t>Локальная дипломатия как инструмент экономической экспансии Китая в</w:t>
      </w:r>
      <w:r>
        <w:rPr>
          <w:b/>
          <w:bCs/>
          <w:lang w:val="en-US"/>
        </w:rPr>
        <w:t> </w:t>
      </w:r>
      <w:r w:rsidRPr="00131AE9">
        <w:rPr>
          <w:b/>
          <w:bCs/>
        </w:rPr>
        <w:t>Латинской Америке</w:t>
      </w:r>
    </w:p>
    <w:p w14:paraId="0997C07D" w14:textId="71C57884" w:rsidR="00131AE9" w:rsidRPr="00131AE9" w:rsidRDefault="00131AE9" w:rsidP="00131AE9">
      <w:pPr>
        <w:spacing w:line="240" w:lineRule="auto"/>
        <w:jc w:val="center"/>
        <w:rPr>
          <w:b/>
          <w:bCs/>
          <w:i/>
          <w:iCs/>
        </w:rPr>
      </w:pPr>
      <w:proofErr w:type="spellStart"/>
      <w:r w:rsidRPr="00131AE9">
        <w:rPr>
          <w:b/>
          <w:bCs/>
          <w:i/>
          <w:iCs/>
        </w:rPr>
        <w:t>Подбуцкая</w:t>
      </w:r>
      <w:proofErr w:type="spellEnd"/>
      <w:r w:rsidRPr="00131AE9">
        <w:rPr>
          <w:b/>
          <w:bCs/>
          <w:i/>
          <w:iCs/>
        </w:rPr>
        <w:t xml:space="preserve"> Е.А.</w:t>
      </w:r>
    </w:p>
    <w:p w14:paraId="3FAD5B10" w14:textId="7B42D8FC" w:rsidR="00131AE9" w:rsidRPr="00131AE9" w:rsidRDefault="00131AE9" w:rsidP="00131AE9">
      <w:pPr>
        <w:spacing w:line="240" w:lineRule="auto"/>
        <w:jc w:val="center"/>
        <w:rPr>
          <w:i/>
          <w:iCs/>
        </w:rPr>
      </w:pPr>
      <w:r w:rsidRPr="00131AE9">
        <w:rPr>
          <w:i/>
          <w:iCs/>
        </w:rPr>
        <w:t>Сотрудник</w:t>
      </w:r>
    </w:p>
    <w:p w14:paraId="5A938FF4" w14:textId="2EB79D77" w:rsidR="00131AE9" w:rsidRPr="00131AE9" w:rsidRDefault="00131AE9" w:rsidP="00131AE9">
      <w:pPr>
        <w:spacing w:line="240" w:lineRule="auto"/>
        <w:jc w:val="center"/>
        <w:rPr>
          <w:i/>
          <w:iCs/>
        </w:rPr>
      </w:pPr>
      <w:r w:rsidRPr="00131AE9">
        <w:rPr>
          <w:i/>
          <w:iCs/>
        </w:rPr>
        <w:t>Институт Латинской Америки РАН, Москва, Россия</w:t>
      </w:r>
    </w:p>
    <w:p w14:paraId="143A199A" w14:textId="6BB80017" w:rsidR="00131AE9" w:rsidRPr="009144CB" w:rsidRDefault="00131AE9" w:rsidP="00131AE9">
      <w:pPr>
        <w:spacing w:line="240" w:lineRule="auto"/>
        <w:jc w:val="center"/>
        <w:rPr>
          <w:i/>
          <w:iCs/>
        </w:rPr>
      </w:pPr>
      <w:hyperlink r:id="rId7" w:history="1">
        <w:r w:rsidRPr="003B3F9A">
          <w:rPr>
            <w:rStyle w:val="a3"/>
            <w:i/>
            <w:iCs/>
            <w:lang w:val="en-US"/>
          </w:rPr>
          <w:t>catherine</w:t>
        </w:r>
        <w:r w:rsidRPr="009144CB">
          <w:rPr>
            <w:rStyle w:val="a3"/>
            <w:i/>
            <w:iCs/>
          </w:rPr>
          <w:t>.</w:t>
        </w:r>
        <w:r w:rsidRPr="003B3F9A">
          <w:rPr>
            <w:rStyle w:val="a3"/>
            <w:i/>
            <w:iCs/>
            <w:lang w:val="en-US"/>
          </w:rPr>
          <w:t>podbutskaya</w:t>
        </w:r>
        <w:r w:rsidRPr="009144CB">
          <w:rPr>
            <w:rStyle w:val="a3"/>
            <w:i/>
            <w:iCs/>
          </w:rPr>
          <w:t>@</w:t>
        </w:r>
        <w:r w:rsidRPr="003B3F9A">
          <w:rPr>
            <w:rStyle w:val="a3"/>
            <w:i/>
            <w:iCs/>
            <w:lang w:val="en-US"/>
          </w:rPr>
          <w:t>yandex</w:t>
        </w:r>
        <w:r w:rsidRPr="009144CB">
          <w:rPr>
            <w:rStyle w:val="a3"/>
            <w:i/>
            <w:iCs/>
          </w:rPr>
          <w:t>.</w:t>
        </w:r>
        <w:proofErr w:type="spellStart"/>
        <w:r w:rsidRPr="003B3F9A">
          <w:rPr>
            <w:rStyle w:val="a3"/>
            <w:i/>
            <w:iCs/>
            <w:lang w:val="en-US"/>
          </w:rPr>
          <w:t>ru</w:t>
        </w:r>
        <w:proofErr w:type="spellEnd"/>
      </w:hyperlink>
    </w:p>
    <w:p w14:paraId="61317401" w14:textId="7EE30950" w:rsidR="00131AE9" w:rsidRPr="00235F26" w:rsidRDefault="009144CB" w:rsidP="00235F26">
      <w:pPr>
        <w:spacing w:line="240" w:lineRule="auto"/>
        <w:ind w:firstLine="397"/>
      </w:pPr>
      <w:r>
        <w:t xml:space="preserve">В </w:t>
      </w:r>
      <w:r>
        <w:rPr>
          <w:lang w:val="en-US"/>
        </w:rPr>
        <w:t>XXI</w:t>
      </w:r>
      <w:r w:rsidRPr="009144CB">
        <w:t xml:space="preserve"> </w:t>
      </w:r>
      <w:r>
        <w:t xml:space="preserve">в. Китай добился значительных результатов в продвижении отечественной продукции на </w:t>
      </w:r>
      <w:r w:rsidR="00235F26">
        <w:t xml:space="preserve">латиноамериканские </w:t>
      </w:r>
      <w:r>
        <w:t xml:space="preserve">рынки. </w:t>
      </w:r>
      <w:r w:rsidR="008E4D4A">
        <w:t xml:space="preserve">Для многих </w:t>
      </w:r>
      <w:r w:rsidR="00235F26">
        <w:t>стран</w:t>
      </w:r>
      <w:r w:rsidR="008E4D4A">
        <w:t xml:space="preserve"> региона он </w:t>
      </w:r>
      <w:r w:rsidR="00150C09">
        <w:t xml:space="preserve">в кратчайшие сроки </w:t>
      </w:r>
      <w:r w:rsidR="008E4D4A">
        <w:t xml:space="preserve">стал ключевым </w:t>
      </w:r>
      <w:r w:rsidR="001D0349">
        <w:t>поставщиком</w:t>
      </w:r>
      <w:r w:rsidR="00235F26">
        <w:t xml:space="preserve"> и важнейшим рынком сбыта</w:t>
      </w:r>
      <w:r w:rsidR="008E4D4A">
        <w:t xml:space="preserve"> </w:t>
      </w:r>
      <w:r w:rsidR="00AE6027" w:rsidRPr="00235F26">
        <w:t>[</w:t>
      </w:r>
      <w:r w:rsidR="00150C09">
        <w:t>2</w:t>
      </w:r>
      <w:r w:rsidR="00AE6027" w:rsidRPr="00235F26">
        <w:t>]</w:t>
      </w:r>
      <w:r w:rsidR="00235F26">
        <w:t>. Такой</w:t>
      </w:r>
      <w:r>
        <w:t xml:space="preserve"> успех объясняется множеством факторов, среди которых выделяется </w:t>
      </w:r>
      <w:proofErr w:type="spellStart"/>
      <w:r>
        <w:t>проактивная</w:t>
      </w:r>
      <w:proofErr w:type="spellEnd"/>
      <w:r>
        <w:t xml:space="preserve"> </w:t>
      </w:r>
      <w:r w:rsidR="00FB5880">
        <w:t xml:space="preserve">государственная политика. Власти азиатской державы продемонстрировали способность адаптировать стратегию под индивидуальные особенности контрагентов, сочетая множество разнонаправленных методик. Одной из </w:t>
      </w:r>
      <w:r w:rsidR="00150C09">
        <w:t>них является</w:t>
      </w:r>
      <w:r w:rsidR="00FB5880">
        <w:t xml:space="preserve"> локальная дипломатия, суть которой заключается </w:t>
      </w:r>
      <w:r w:rsidR="0013220B">
        <w:t xml:space="preserve">в переходе от </w:t>
      </w:r>
      <w:r w:rsidR="0013220B">
        <w:rPr>
          <w:rFonts w:eastAsiaTheme="minorEastAsia"/>
        </w:rPr>
        <w:t xml:space="preserve">межправительственного диалога </w:t>
      </w:r>
      <w:r w:rsidR="0013220B">
        <w:rPr>
          <w:rFonts w:eastAsiaTheme="minorEastAsia"/>
        </w:rPr>
        <w:t>к</w:t>
      </w:r>
      <w:r w:rsidR="0013220B">
        <w:rPr>
          <w:rFonts w:eastAsiaTheme="minorEastAsia"/>
        </w:rPr>
        <w:t xml:space="preserve"> взаимодействи</w:t>
      </w:r>
      <w:r w:rsidR="0013220B">
        <w:rPr>
          <w:rFonts w:eastAsiaTheme="minorEastAsia"/>
        </w:rPr>
        <w:t>ю</w:t>
      </w:r>
      <w:r w:rsidR="0013220B">
        <w:rPr>
          <w:rFonts w:eastAsiaTheme="minorEastAsia"/>
        </w:rPr>
        <w:t xml:space="preserve"> на уровне административных единиц – провинций, штатов, муниципалитетов</w:t>
      </w:r>
      <w:r w:rsidR="0013220B">
        <w:rPr>
          <w:rFonts w:eastAsiaTheme="minorEastAsia"/>
        </w:rPr>
        <w:t>.</w:t>
      </w:r>
    </w:p>
    <w:p w14:paraId="7391ADDC" w14:textId="77777777" w:rsidR="0013220B" w:rsidRPr="0013220B" w:rsidRDefault="0013220B" w:rsidP="0013220B">
      <w:pPr>
        <w:spacing w:line="240" w:lineRule="auto"/>
        <w:ind w:firstLine="397"/>
      </w:pPr>
      <w:r w:rsidRPr="0013220B">
        <w:t xml:space="preserve">Преимущество локальной дипломатии – ее медийная «неприметность». Местные проекты гораздо меньше освещаются СМИ по сравнению с инициативами общенационального масштаба. Это позволяет проводить «тихую» экспансию, не привлекая внимание широкой общественности и третьих стран. К тому же данный метод прекрасно подходит для «разведки»: разворачивая деятельность в отдельно взятом районе, КНР получает шанс ознакомиться с национальным законодательством, культурными особенностями, условиями рыночной конкуренции и т.д. Полученные знания затем могут быть применены на государственном уровне, что снизит вероятность репутационных и материальных потерь. </w:t>
      </w:r>
    </w:p>
    <w:p w14:paraId="36C7CBF4" w14:textId="5CB32D2E" w:rsidR="0013220B" w:rsidRPr="0013220B" w:rsidRDefault="0013220B" w:rsidP="0013220B">
      <w:pPr>
        <w:spacing w:line="240" w:lineRule="auto"/>
        <w:ind w:firstLine="397"/>
      </w:pPr>
      <w:r w:rsidRPr="0013220B">
        <w:t xml:space="preserve">Использование такого </w:t>
      </w:r>
      <w:r w:rsidR="00150C09">
        <w:t>подхода</w:t>
      </w:r>
      <w:r w:rsidRPr="0013220B">
        <w:t xml:space="preserve"> порой продиктовано самой спецификой административного устройства латиноамериканских стран. Для некоторых из них характерна высокая степень автономии территориальных единиц. В отдельных случаях регионы пользуются привилегией самостоятельно вести внешнеторговую политику и определять круг своих контрагентов. Вследствие этого они сами могут обращаться к Китаю с предложением о сотрудничестве, как это, например, сделали несколько бразильских штатов в годы пандемии (правительство в этот период было настроено в отношении Пекина крайне настороженно). Кроме того, ведение диалога по линии местных органов власти может быть более экономически целесообразным, поскольку провинции иногда находятся в лучшем финансовом положении, нежели «центр».</w:t>
      </w:r>
    </w:p>
    <w:p w14:paraId="29E8335F" w14:textId="43769758" w:rsidR="0013220B" w:rsidRPr="0013220B" w:rsidRDefault="0013220B" w:rsidP="0013220B">
      <w:pPr>
        <w:spacing w:line="240" w:lineRule="auto"/>
        <w:ind w:firstLine="397"/>
      </w:pPr>
      <w:r w:rsidRPr="0013220B">
        <w:t xml:space="preserve">В практике локальной дипломатии КНР есть множество историй успеха. Благодаря заложенной государством базе удалось наладить сотрудничество между торговой платформой </w:t>
      </w:r>
      <w:r w:rsidRPr="0013220B">
        <w:rPr>
          <w:lang w:val="en-US"/>
        </w:rPr>
        <w:t>Alibaba</w:t>
      </w:r>
      <w:r w:rsidRPr="0013220B">
        <w:t xml:space="preserve"> и мексиканским штатом </w:t>
      </w:r>
      <w:proofErr w:type="spellStart"/>
      <w:r w:rsidRPr="0013220B">
        <w:t>Гуанахуато</w:t>
      </w:r>
      <w:proofErr w:type="spellEnd"/>
      <w:r w:rsidRPr="0013220B">
        <w:t>: китайская сторона провела для местн</w:t>
      </w:r>
      <w:r w:rsidR="00AE6027">
        <w:t xml:space="preserve">ой молодежи </w:t>
      </w:r>
      <w:r w:rsidRPr="0013220B">
        <w:t>тренинги в области электронной коммерции</w:t>
      </w:r>
      <w:r w:rsidR="00AE6027" w:rsidRPr="00AE6027">
        <w:t xml:space="preserve"> [</w:t>
      </w:r>
      <w:r w:rsidR="00150C09">
        <w:t>1</w:t>
      </w:r>
      <w:r w:rsidR="00AE6027" w:rsidRPr="00AE6027">
        <w:t>]</w:t>
      </w:r>
      <w:r w:rsidRPr="0013220B">
        <w:t xml:space="preserve">. Компании </w:t>
      </w:r>
      <w:r w:rsidRPr="0013220B">
        <w:rPr>
          <w:lang w:val="en-US"/>
        </w:rPr>
        <w:t>Huawei</w:t>
      </w:r>
      <w:r w:rsidRPr="0013220B">
        <w:t xml:space="preserve"> удалось реализовать проект </w:t>
      </w:r>
      <w:r w:rsidRPr="0013220B">
        <w:rPr>
          <w:lang w:val="en-US"/>
        </w:rPr>
        <w:t>Safe</w:t>
      </w:r>
      <w:r w:rsidRPr="0013220B">
        <w:t xml:space="preserve"> </w:t>
      </w:r>
      <w:r w:rsidRPr="0013220B">
        <w:rPr>
          <w:lang w:val="en-US"/>
        </w:rPr>
        <w:t>City</w:t>
      </w:r>
      <w:r w:rsidRPr="0013220B">
        <w:t xml:space="preserve">, в рамках которого в боливийский город </w:t>
      </w:r>
      <w:proofErr w:type="spellStart"/>
      <w:r w:rsidRPr="0013220B">
        <w:t>Кочабамба</w:t>
      </w:r>
      <w:proofErr w:type="spellEnd"/>
      <w:r w:rsidRPr="0013220B">
        <w:t xml:space="preserve"> были поставлены «умные» системы видеонаблюдения и техническое оснащение для полиции</w:t>
      </w:r>
      <w:r w:rsidR="00AE6027" w:rsidRPr="00AE6027">
        <w:t xml:space="preserve"> [</w:t>
      </w:r>
      <w:r w:rsidR="00150C09">
        <w:t>4</w:t>
      </w:r>
      <w:r w:rsidR="00AE6027" w:rsidRPr="00AE6027">
        <w:t xml:space="preserve">]. </w:t>
      </w:r>
      <w:r w:rsidRPr="0013220B">
        <w:t xml:space="preserve">Поистине благодатной почвой для партнерства стали побратимские отношения между провинциями Гуйчжоу и </w:t>
      </w:r>
      <w:proofErr w:type="spellStart"/>
      <w:r w:rsidRPr="0013220B">
        <w:t>Хухуй</w:t>
      </w:r>
      <w:proofErr w:type="spellEnd"/>
      <w:r w:rsidRPr="0013220B">
        <w:t xml:space="preserve"> (Аргентина): они создали условия для успешной деятельности таких компаний, как </w:t>
      </w:r>
      <w:r w:rsidRPr="0013220B">
        <w:rPr>
          <w:lang w:val="en-US"/>
        </w:rPr>
        <w:t>ZTE</w:t>
      </w:r>
      <w:r w:rsidRPr="0013220B">
        <w:t xml:space="preserve">, </w:t>
      </w:r>
      <w:r w:rsidRPr="0013220B">
        <w:rPr>
          <w:lang w:val="en-US"/>
        </w:rPr>
        <w:t>Shanghai</w:t>
      </w:r>
      <w:r w:rsidRPr="0013220B">
        <w:t xml:space="preserve"> </w:t>
      </w:r>
      <w:r w:rsidRPr="0013220B">
        <w:rPr>
          <w:lang w:val="en-US"/>
        </w:rPr>
        <w:t>Electric</w:t>
      </w:r>
      <w:r w:rsidRPr="0013220B">
        <w:t xml:space="preserve">, </w:t>
      </w:r>
      <w:r w:rsidRPr="0013220B">
        <w:rPr>
          <w:lang w:val="en-US"/>
        </w:rPr>
        <w:t>Power</w:t>
      </w:r>
      <w:r w:rsidRPr="0013220B">
        <w:t xml:space="preserve"> </w:t>
      </w:r>
      <w:r w:rsidRPr="0013220B">
        <w:rPr>
          <w:lang w:val="en-US"/>
        </w:rPr>
        <w:t>China</w:t>
      </w:r>
      <w:r w:rsidRPr="0013220B">
        <w:t xml:space="preserve"> и </w:t>
      </w:r>
      <w:proofErr w:type="spellStart"/>
      <w:r w:rsidRPr="0013220B">
        <w:rPr>
          <w:lang w:val="en-US"/>
        </w:rPr>
        <w:t>Talesun</w:t>
      </w:r>
      <w:proofErr w:type="spellEnd"/>
      <w:r w:rsidRPr="0013220B">
        <w:t xml:space="preserve"> [</w:t>
      </w:r>
      <w:r w:rsidR="00150C09">
        <w:t>3</w:t>
      </w:r>
      <w:r w:rsidRPr="0013220B">
        <w:t>].</w:t>
      </w:r>
    </w:p>
    <w:p w14:paraId="4C079449" w14:textId="00D3B89A" w:rsidR="0013220B" w:rsidRPr="0013220B" w:rsidRDefault="0013220B" w:rsidP="0013220B">
      <w:pPr>
        <w:spacing w:line="240" w:lineRule="auto"/>
        <w:ind w:firstLine="397"/>
      </w:pPr>
      <w:r w:rsidRPr="0013220B">
        <w:t xml:space="preserve">Стоит, однако, заметить, что применение метода локальной дипломатии требует слаженных действий внушительного числа </w:t>
      </w:r>
      <w:proofErr w:type="spellStart"/>
      <w:r w:rsidRPr="0013220B">
        <w:t>акторов</w:t>
      </w:r>
      <w:proofErr w:type="spellEnd"/>
      <w:r w:rsidRPr="0013220B">
        <w:t xml:space="preserve">. В случае Китая первым звеном </w:t>
      </w:r>
      <w:r w:rsidRPr="0013220B">
        <w:lastRenderedPageBreak/>
        <w:t>выступают дипломатические представительства. Сотрудники посольств отвечают за выявление перспективных ниш для сотрудничества с последующим информированием заинтересованных лиц на родине. Далее в процесс включается Китайский совет по продвижению международной торговли (</w:t>
      </w:r>
      <w:r w:rsidRPr="0013220B">
        <w:rPr>
          <w:lang w:val="en-US"/>
        </w:rPr>
        <w:t>China</w:t>
      </w:r>
      <w:r w:rsidRPr="0013220B">
        <w:t xml:space="preserve"> </w:t>
      </w:r>
      <w:r w:rsidRPr="0013220B">
        <w:rPr>
          <w:lang w:val="en-US"/>
        </w:rPr>
        <w:t>Council</w:t>
      </w:r>
      <w:r w:rsidRPr="0013220B">
        <w:t xml:space="preserve"> </w:t>
      </w:r>
      <w:r w:rsidRPr="0013220B">
        <w:rPr>
          <w:lang w:val="en-US"/>
        </w:rPr>
        <w:t>for</w:t>
      </w:r>
      <w:r w:rsidRPr="0013220B">
        <w:t xml:space="preserve"> </w:t>
      </w:r>
      <w:r w:rsidRPr="0013220B">
        <w:rPr>
          <w:lang w:val="en-US"/>
        </w:rPr>
        <w:t>the</w:t>
      </w:r>
      <w:r w:rsidRPr="0013220B">
        <w:t xml:space="preserve"> </w:t>
      </w:r>
      <w:r w:rsidRPr="0013220B">
        <w:rPr>
          <w:lang w:val="en-US"/>
        </w:rPr>
        <w:t>Promotion</w:t>
      </w:r>
      <w:r w:rsidRPr="0013220B">
        <w:t xml:space="preserve"> </w:t>
      </w:r>
      <w:r w:rsidRPr="0013220B">
        <w:rPr>
          <w:lang w:val="en-US"/>
        </w:rPr>
        <w:t>of</w:t>
      </w:r>
      <w:r w:rsidRPr="0013220B">
        <w:t xml:space="preserve"> </w:t>
      </w:r>
      <w:r w:rsidRPr="0013220B">
        <w:rPr>
          <w:lang w:val="en-US"/>
        </w:rPr>
        <w:t>International</w:t>
      </w:r>
      <w:r w:rsidRPr="0013220B">
        <w:t xml:space="preserve"> </w:t>
      </w:r>
      <w:r w:rsidRPr="0013220B">
        <w:rPr>
          <w:lang w:val="en-US"/>
        </w:rPr>
        <w:t>Trade</w:t>
      </w:r>
      <w:r w:rsidRPr="0013220B">
        <w:t>, CCPIT). В обязанности его провинциальных отделений вход</w:t>
      </w:r>
      <w:r w:rsidR="00150C09">
        <w:t>и</w:t>
      </w:r>
      <w:r w:rsidRPr="0013220B">
        <w:t>т организация встреч и мероприятий, а также учреждение совместных с латиноамериканской стороной локализованных представительств</w:t>
      </w:r>
      <w:r w:rsidR="00AE6027" w:rsidRPr="00AE6027">
        <w:t xml:space="preserve"> (</w:t>
      </w:r>
      <w:r w:rsidR="00150C09">
        <w:t>в</w:t>
      </w:r>
      <w:r w:rsidR="00AE6027" w:rsidRPr="002F46D0">
        <w:t xml:space="preserve"> качестве примера можно привести Мексиканско-китайскую торгово-технологическую палату, начавшую функционировать в 2008 </w:t>
      </w:r>
      <w:r w:rsidR="00AE6027">
        <w:t>г.</w:t>
      </w:r>
      <w:r w:rsidR="00AE6027" w:rsidRPr="00AE6027">
        <w:t>)</w:t>
      </w:r>
      <w:r w:rsidRPr="0013220B">
        <w:t xml:space="preserve">. Замыкают цепочку сами компании, которые в целях оперативного реагирования должны постоянно находиться в контакте с представителями власти. Таким образом, на государство ложится задача по координации всех участников </w:t>
      </w:r>
      <w:r w:rsidR="00150C09">
        <w:t>алгоритма</w:t>
      </w:r>
      <w:r w:rsidRPr="0013220B">
        <w:t xml:space="preserve">, для решения которой необходимо задействовать большой административный ресурс. </w:t>
      </w:r>
    </w:p>
    <w:p w14:paraId="2252EF30" w14:textId="119B2219" w:rsidR="0013220B" w:rsidRDefault="0013220B" w:rsidP="00131AE9">
      <w:pPr>
        <w:spacing w:line="240" w:lineRule="auto"/>
        <w:ind w:firstLine="397"/>
      </w:pPr>
    </w:p>
    <w:p w14:paraId="0777D793" w14:textId="26CA8675" w:rsidR="00150C09" w:rsidRPr="00150C09" w:rsidRDefault="00150C09" w:rsidP="00131AE9">
      <w:pPr>
        <w:spacing w:line="240" w:lineRule="auto"/>
        <w:ind w:firstLine="397"/>
        <w:rPr>
          <w:b/>
          <w:bCs/>
        </w:rPr>
      </w:pPr>
      <w:r w:rsidRPr="00150C09">
        <w:rPr>
          <w:b/>
          <w:bCs/>
        </w:rPr>
        <w:t>Источники и литература</w:t>
      </w:r>
    </w:p>
    <w:p w14:paraId="7FEA9E45" w14:textId="7DFE5F2F" w:rsidR="00150C09" w:rsidRPr="00150C09" w:rsidRDefault="00150C09" w:rsidP="00150C09">
      <w:pPr>
        <w:pStyle w:val="a8"/>
        <w:numPr>
          <w:ilvl w:val="0"/>
          <w:numId w:val="2"/>
        </w:numPr>
        <w:spacing w:line="240" w:lineRule="auto"/>
        <w:ind w:left="426"/>
        <w:rPr>
          <w:lang w:val="en-US"/>
        </w:rPr>
      </w:pPr>
      <w:r w:rsidRPr="00150C09">
        <w:rPr>
          <w:lang w:val="es-ES"/>
        </w:rPr>
        <w:t>Entrenarán guanajuatenses con Alibaba</w:t>
      </w:r>
      <w:r w:rsidRPr="00150C09">
        <w:rPr>
          <w:lang w:val="es-ES"/>
        </w:rPr>
        <w:t xml:space="preserve">. </w:t>
      </w:r>
      <w:r w:rsidRPr="00150C09">
        <w:rPr>
          <w:rFonts w:eastAsiaTheme="minorEastAsia"/>
          <w:lang w:val="en-US"/>
        </w:rPr>
        <w:t xml:space="preserve">URL: </w:t>
      </w:r>
      <w:r w:rsidRPr="00150C09">
        <w:rPr>
          <w:lang w:val="en-US"/>
        </w:rPr>
        <w:t xml:space="preserve"> </w:t>
      </w:r>
      <w:hyperlink r:id="rId8" w:history="1">
        <w:r w:rsidRPr="00150C09">
          <w:rPr>
            <w:rStyle w:val="a3"/>
            <w:lang w:val="en-US"/>
          </w:rPr>
          <w:t>https://oem.com.mx/elsoldeleon/local/entrenaran-guanajuatenses-con-alibaba-programa-global-digital-talent-de-alibaba-business-school-20214474</w:t>
        </w:r>
      </w:hyperlink>
      <w:r w:rsidRPr="00150C09">
        <w:rPr>
          <w:lang w:val="en-US"/>
        </w:rPr>
        <w:t xml:space="preserve"> </w:t>
      </w:r>
    </w:p>
    <w:p w14:paraId="66C6A717" w14:textId="77777777" w:rsidR="00150C09" w:rsidRPr="00150C09" w:rsidRDefault="00150C09" w:rsidP="00150C09">
      <w:pPr>
        <w:pStyle w:val="a8"/>
        <w:numPr>
          <w:ilvl w:val="0"/>
          <w:numId w:val="2"/>
        </w:numPr>
        <w:spacing w:line="240" w:lineRule="auto"/>
        <w:ind w:left="426"/>
        <w:rPr>
          <w:lang w:val="en-US"/>
        </w:rPr>
      </w:pPr>
      <w:hyperlink r:id="rId9" w:history="1">
        <w:r w:rsidRPr="00150C09">
          <w:rPr>
            <w:rStyle w:val="a3"/>
            <w:lang w:val="en-US"/>
          </w:rPr>
          <w:t>https://wits.worldbank.org/</w:t>
        </w:r>
      </w:hyperlink>
      <w:r w:rsidRPr="00150C09">
        <w:rPr>
          <w:lang w:val="en-US"/>
        </w:rPr>
        <w:t xml:space="preserve"> (</w:t>
      </w:r>
      <w:r w:rsidRPr="00150C09">
        <w:rPr>
          <w:lang w:val="en-US"/>
        </w:rPr>
        <w:t>World Integrated Trade Solutions</w:t>
      </w:r>
      <w:r w:rsidRPr="00150C09">
        <w:rPr>
          <w:lang w:val="en-US"/>
        </w:rPr>
        <w:t>)</w:t>
      </w:r>
    </w:p>
    <w:p w14:paraId="6E04F817" w14:textId="77777777" w:rsidR="00150C09" w:rsidRPr="00150C09" w:rsidRDefault="00150C09" w:rsidP="00150C09">
      <w:pPr>
        <w:pStyle w:val="a8"/>
        <w:numPr>
          <w:ilvl w:val="0"/>
          <w:numId w:val="2"/>
        </w:numPr>
        <w:spacing w:line="240" w:lineRule="auto"/>
        <w:ind w:left="426"/>
        <w:rPr>
          <w:lang w:val="en-US"/>
        </w:rPr>
      </w:pPr>
      <w:r w:rsidRPr="00150C09">
        <w:rPr>
          <w:rFonts w:eastAsiaTheme="minorEastAsia"/>
          <w:lang w:val="en-US"/>
        </w:rPr>
        <w:t xml:space="preserve">Myers, M. Going local. An Assessment of China’s Administrative-Level Activity in Latin America and the Caribbean. </w:t>
      </w:r>
      <w:r w:rsidRPr="00150C09">
        <w:rPr>
          <w:rFonts w:eastAsiaTheme="minorEastAsia"/>
          <w:lang w:val="en-US"/>
        </w:rPr>
        <w:t xml:space="preserve">2020. </w:t>
      </w:r>
      <w:r w:rsidRPr="00150C09">
        <w:rPr>
          <w:rFonts w:eastAsiaTheme="minorEastAsia"/>
          <w:lang w:val="en-US"/>
        </w:rPr>
        <w:t xml:space="preserve">URL: </w:t>
      </w:r>
      <w:hyperlink r:id="rId10" w:history="1">
        <w:r w:rsidRPr="00150C09">
          <w:rPr>
            <w:rStyle w:val="a3"/>
            <w:rFonts w:eastAsiaTheme="minorEastAsia"/>
            <w:lang w:val="en-US"/>
          </w:rPr>
          <w:t>https://www.thedialogue.org/wp-content/uploads/2020/12/Going-Local-Chinas-Administrative-Level-Activity-in-LAC.pdf</w:t>
        </w:r>
      </w:hyperlink>
    </w:p>
    <w:p w14:paraId="4FAE8949" w14:textId="008900BC" w:rsidR="00150C09" w:rsidRPr="00150C09" w:rsidRDefault="00150C09" w:rsidP="00150C09">
      <w:pPr>
        <w:pStyle w:val="a8"/>
        <w:numPr>
          <w:ilvl w:val="0"/>
          <w:numId w:val="2"/>
        </w:numPr>
        <w:spacing w:line="240" w:lineRule="auto"/>
        <w:ind w:left="426"/>
        <w:rPr>
          <w:lang w:val="es-ES"/>
        </w:rPr>
      </w:pPr>
      <w:r w:rsidRPr="00150C09">
        <w:rPr>
          <w:lang w:val="es-ES"/>
        </w:rPr>
        <w:t>Seguridad pública visualizada para Cochabamba, ciudad inteligente</w:t>
      </w:r>
      <w:r w:rsidRPr="00150C09">
        <w:rPr>
          <w:lang w:val="es-ES"/>
        </w:rPr>
        <w:t xml:space="preserve">. </w:t>
      </w:r>
      <w:r w:rsidRPr="00150C09">
        <w:rPr>
          <w:rFonts w:eastAsiaTheme="minorEastAsia"/>
          <w:lang w:val="en-US"/>
        </w:rPr>
        <w:t xml:space="preserve">URL: </w:t>
      </w:r>
      <w:hyperlink r:id="rId11" w:history="1">
        <w:r w:rsidRPr="00150C09">
          <w:rPr>
            <w:rStyle w:val="a3"/>
            <w:lang w:val="es-ES"/>
          </w:rPr>
          <w:t>https://e.huawei.com/mx/case-studies/global/2018/201807051718</w:t>
        </w:r>
      </w:hyperlink>
      <w:r w:rsidRPr="00150C09">
        <w:rPr>
          <w:lang w:val="es-ES"/>
        </w:rPr>
        <w:t xml:space="preserve"> </w:t>
      </w:r>
    </w:p>
    <w:p w14:paraId="725941FE" w14:textId="77777777" w:rsidR="00AE6027" w:rsidRPr="00150C09" w:rsidRDefault="00AE6027" w:rsidP="00131AE9">
      <w:pPr>
        <w:spacing w:line="240" w:lineRule="auto"/>
        <w:ind w:firstLine="397"/>
        <w:rPr>
          <w:lang w:val="es-ES"/>
        </w:rPr>
      </w:pPr>
      <w:bookmarkStart w:id="0" w:name="_GoBack"/>
      <w:bookmarkEnd w:id="0"/>
    </w:p>
    <w:sectPr w:rsidR="00AE6027" w:rsidRPr="00150C09" w:rsidSect="00131A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3B9B9" w14:textId="77777777" w:rsidR="0013220B" w:rsidRDefault="0013220B" w:rsidP="0013220B">
      <w:pPr>
        <w:spacing w:after="0" w:line="240" w:lineRule="auto"/>
      </w:pPr>
      <w:r>
        <w:separator/>
      </w:r>
    </w:p>
  </w:endnote>
  <w:endnote w:type="continuationSeparator" w:id="0">
    <w:p w14:paraId="6182817E" w14:textId="77777777" w:rsidR="0013220B" w:rsidRDefault="0013220B" w:rsidP="0013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38CEB" w14:textId="77777777" w:rsidR="0013220B" w:rsidRDefault="0013220B" w:rsidP="0013220B">
      <w:pPr>
        <w:spacing w:after="0" w:line="240" w:lineRule="auto"/>
      </w:pPr>
      <w:r>
        <w:separator/>
      </w:r>
    </w:p>
  </w:footnote>
  <w:footnote w:type="continuationSeparator" w:id="0">
    <w:p w14:paraId="3DC21038" w14:textId="77777777" w:rsidR="0013220B" w:rsidRDefault="0013220B" w:rsidP="0013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609D9"/>
    <w:multiLevelType w:val="hybridMultilevel"/>
    <w:tmpl w:val="984E600E"/>
    <w:lvl w:ilvl="0" w:tplc="2BE074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55C00AE"/>
    <w:multiLevelType w:val="hybridMultilevel"/>
    <w:tmpl w:val="98243F0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A6"/>
    <w:rsid w:val="00131AE9"/>
    <w:rsid w:val="0013220B"/>
    <w:rsid w:val="00150C09"/>
    <w:rsid w:val="001D0349"/>
    <w:rsid w:val="00235F26"/>
    <w:rsid w:val="008E4D4A"/>
    <w:rsid w:val="009144CB"/>
    <w:rsid w:val="00AE6027"/>
    <w:rsid w:val="00B803A7"/>
    <w:rsid w:val="00BA0FD3"/>
    <w:rsid w:val="00BA187B"/>
    <w:rsid w:val="00C23756"/>
    <w:rsid w:val="00DA14A6"/>
    <w:rsid w:val="00F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855"/>
  <w15:chartTrackingRefBased/>
  <w15:docId w15:val="{5C25E7F1-30D9-4AFB-8A07-BF06D0C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A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1AE9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13220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322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3220B"/>
    <w:rPr>
      <w:vertAlign w:val="superscript"/>
    </w:rPr>
  </w:style>
  <w:style w:type="paragraph" w:styleId="a8">
    <w:name w:val="List Paragraph"/>
    <w:basedOn w:val="a"/>
    <w:uiPriority w:val="34"/>
    <w:qFormat/>
    <w:rsid w:val="0015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m.com.mx/elsoldeleon/local/entrenaran-guanajuatenses-con-alibaba-programa-global-digital-talent-de-alibaba-business-school-202144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herine.podbutskay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huawei.com/mx/case-studies/global/2018/20180705171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dialogue.org/wp-content/uploads/2020/12/Going-Local-Chinas-Administrative-Level-Activity-in-LA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s.worldban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531</Words>
  <Characters>4242</Characters>
  <Application>Microsoft Office Word</Application>
  <DocSecurity>0</DocSecurity>
  <Lines>70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qwerrt qwert</dc:creator>
  <cp:keywords/>
  <dc:description/>
  <cp:lastModifiedBy>qwerrt qwert</cp:lastModifiedBy>
  <cp:revision>3</cp:revision>
  <dcterms:created xsi:type="dcterms:W3CDTF">2025-03-02T17:43:00Z</dcterms:created>
  <dcterms:modified xsi:type="dcterms:W3CDTF">2025-03-02T19:30:00Z</dcterms:modified>
</cp:coreProperties>
</file>