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146F" w14:textId="34F645B8" w:rsidR="00027453" w:rsidRPr="00027453" w:rsidRDefault="00027453" w:rsidP="00027453">
      <w:pPr>
        <w:spacing w:after="0" w:line="240" w:lineRule="auto"/>
        <w:ind w:firstLine="525"/>
        <w:jc w:val="center"/>
        <w:rPr>
          <w:rFonts w:ascii="-webkit-standard" w:eastAsia="Times New Roman" w:hAnsi="-webkit-standard" w:cs="Times New Roman"/>
          <w:color w:val="000000"/>
          <w:sz w:val="24"/>
          <w:szCs w:val="24"/>
          <w:lang w:val="en-RU"/>
        </w:rPr>
      </w:pPr>
      <w:r w:rsidRPr="00027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RU"/>
        </w:rPr>
        <w:t>Публичная дипломатия Тайваня в эпоху дезинформации</w:t>
      </w:r>
      <w:r w:rsidR="00E550F3" w:rsidRPr="00E55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55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027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RU"/>
        </w:rPr>
        <w:t xml:space="preserve"> использование мягкой силы для легитимации статуса в международном сообществе</w:t>
      </w:r>
    </w:p>
    <w:p w14:paraId="0229377D" w14:textId="77777777" w:rsidR="00027453" w:rsidRDefault="00027453" w:rsidP="00027453">
      <w:pPr>
        <w:pStyle w:val="TNR"/>
        <w:spacing w:line="240" w:lineRule="auto"/>
        <w:ind w:firstLine="0"/>
        <w:rPr>
          <w:sz w:val="24"/>
          <w:szCs w:val="24"/>
        </w:rPr>
      </w:pPr>
    </w:p>
    <w:p w14:paraId="1DC881D3" w14:textId="39814FC2" w:rsidR="009A355B" w:rsidRPr="00EE4DE7" w:rsidRDefault="00E06B55" w:rsidP="00EE4DE7">
      <w:pPr>
        <w:pStyle w:val="TNR"/>
        <w:spacing w:line="240" w:lineRule="auto"/>
        <w:rPr>
          <w:sz w:val="24"/>
          <w:szCs w:val="24"/>
        </w:rPr>
      </w:pPr>
      <w:r w:rsidRPr="00EE4DE7">
        <w:rPr>
          <w:sz w:val="24"/>
          <w:szCs w:val="24"/>
        </w:rPr>
        <w:t>Основная научная проблематика определяется тем, что с</w:t>
      </w:r>
      <w:r w:rsidR="009A355B" w:rsidRPr="00EE4DE7">
        <w:rPr>
          <w:sz w:val="24"/>
          <w:szCs w:val="24"/>
        </w:rPr>
        <w:t>ложившийся статус-кво вокруг Тайваня имеет глубокие исторические корни, уходящие в середину XX века. В то время как официальной позицией континентального Китая остается доктрина «одного Китая», Тайвань, опираясь на достижения демократизации и экономического роста, стремится доказать, что его политическая система, общественный уклад и ценности могут служить образцом для региона</w:t>
      </w:r>
      <w:r w:rsidR="00BA5C45" w:rsidRPr="00EE4DE7">
        <w:rPr>
          <w:sz w:val="24"/>
          <w:szCs w:val="24"/>
        </w:rPr>
        <w:t xml:space="preserve"> [3]</w:t>
      </w:r>
      <w:r w:rsidR="009A355B" w:rsidRPr="00EE4DE7">
        <w:rPr>
          <w:sz w:val="24"/>
          <w:szCs w:val="24"/>
        </w:rPr>
        <w:t xml:space="preserve">. Основа динамики здесь </w:t>
      </w:r>
      <w:r w:rsidR="00142A9A">
        <w:rPr>
          <w:sz w:val="24"/>
          <w:szCs w:val="24"/>
        </w:rPr>
        <w:t>заключается</w:t>
      </w:r>
      <w:r w:rsidR="009A355B" w:rsidRPr="00EE4DE7">
        <w:rPr>
          <w:sz w:val="24"/>
          <w:szCs w:val="24"/>
        </w:rPr>
        <w:t xml:space="preserve"> в том, что Тайвань, несмотря на отсутствие членства в большинстве международных организаций, сохраняет тесные экономические и культурные связи с рядом государств, формируя тем самым свою нишу во внешнеполитических коммуникациях. Публичная дипломатия, дополняя классические дипломатические подходы, дает этому острову не только площадку для продвижения культурной уникальности, но и инструмент для передачи своих политических и гражданских ценностей</w:t>
      </w:r>
      <w:r w:rsidR="00BA5C45" w:rsidRPr="00EE4DE7">
        <w:rPr>
          <w:sz w:val="24"/>
          <w:szCs w:val="24"/>
        </w:rPr>
        <w:t xml:space="preserve"> [2]</w:t>
      </w:r>
      <w:r w:rsidR="009A355B" w:rsidRPr="00EE4DE7">
        <w:rPr>
          <w:sz w:val="24"/>
          <w:szCs w:val="24"/>
        </w:rPr>
        <w:t>.</w:t>
      </w:r>
    </w:p>
    <w:p w14:paraId="30294250" w14:textId="3DD5873F" w:rsidR="009A355B" w:rsidRPr="00EE4DE7" w:rsidRDefault="004271A2" w:rsidP="00EE4DE7">
      <w:pPr>
        <w:pStyle w:val="TN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Новизна исследования определяется тем, что сейчас существует в</w:t>
      </w:r>
      <w:r w:rsidR="009A355B" w:rsidRPr="00EE4DE7">
        <w:rPr>
          <w:sz w:val="24"/>
          <w:szCs w:val="24"/>
        </w:rPr>
        <w:t>ажность легитимации статуса в международном сообществе</w:t>
      </w:r>
      <w:r w:rsidR="00027453" w:rsidRPr="00027453">
        <w:rPr>
          <w:sz w:val="24"/>
          <w:szCs w:val="24"/>
        </w:rPr>
        <w:t xml:space="preserve">, </w:t>
      </w:r>
      <w:r w:rsidR="00027453">
        <w:rPr>
          <w:sz w:val="24"/>
          <w:szCs w:val="24"/>
        </w:rPr>
        <w:t>которая</w:t>
      </w:r>
      <w:r w:rsidR="009A355B" w:rsidRPr="00EE4DE7">
        <w:rPr>
          <w:sz w:val="24"/>
          <w:szCs w:val="24"/>
        </w:rPr>
        <w:t xml:space="preserve"> становится все более острой в условиях, когда дезинформация и манипулирование общественным мнением приобрели глобальный масштаб</w:t>
      </w:r>
      <w:r w:rsidR="00BA5C45" w:rsidRPr="00EE4DE7">
        <w:rPr>
          <w:sz w:val="24"/>
          <w:szCs w:val="24"/>
        </w:rPr>
        <w:t xml:space="preserve"> [4]</w:t>
      </w:r>
      <w:r w:rsidR="009A355B" w:rsidRPr="00EE4DE7">
        <w:rPr>
          <w:sz w:val="24"/>
          <w:szCs w:val="24"/>
        </w:rPr>
        <w:t>. Прикладные технологии, социальные сети и мессенджеры создают одновременно и возможности, и угрозы для имиджа Тайваня, формируя непредсказуемую среду. Стратегии, рассчитанные на классические СМИ, сегодня уже не столь результативны: необходимо уметь работать в цифровом пространстве, где почти любой пользователь сети может стать инициатором массовой кампании. Такая среда требует от тайваньских дипломатов понятного, подлинного и доступного языка, а также готовности оперативно опровергать или подтверждать факты, не давая дезинформационным вбросам набирать обороты</w:t>
      </w:r>
      <w:r w:rsidR="00BA5C45" w:rsidRPr="00EE4DE7">
        <w:rPr>
          <w:sz w:val="24"/>
          <w:szCs w:val="24"/>
        </w:rPr>
        <w:t xml:space="preserve"> [1]</w:t>
      </w:r>
      <w:r w:rsidR="009A355B" w:rsidRPr="00EE4DE7">
        <w:rPr>
          <w:sz w:val="24"/>
          <w:szCs w:val="24"/>
        </w:rPr>
        <w:t>.</w:t>
      </w:r>
    </w:p>
    <w:p w14:paraId="39E1B58E" w14:textId="3E05352C" w:rsidR="009A355B" w:rsidRPr="00EE4DE7" w:rsidRDefault="009A355B" w:rsidP="00EE4DE7">
      <w:pPr>
        <w:pStyle w:val="TNR"/>
        <w:spacing w:line="240" w:lineRule="auto"/>
        <w:rPr>
          <w:sz w:val="24"/>
          <w:szCs w:val="24"/>
        </w:rPr>
      </w:pPr>
      <w:r w:rsidRPr="00EE4DE7">
        <w:rPr>
          <w:sz w:val="24"/>
          <w:szCs w:val="24"/>
        </w:rPr>
        <w:t>Еще одной особенностью является старая, но все более активизирующаяся проблема «теневого» присутствия. Тайвань не является членом ООН и формально не признан многими странами, однако поддерживает неофициальные дипломатические представительства и культурные центры по всему миру. Для публичной дипломатии подобная ситуация означает чрезвычайно высокую важность стратегии «мягкой силы», которая может обойти жесткие дипломатические ограничения и донести тайваньскую точку зрения до широкой публики</w:t>
      </w:r>
      <w:r w:rsidR="00BA5C45" w:rsidRPr="00EE4DE7">
        <w:rPr>
          <w:sz w:val="24"/>
          <w:szCs w:val="24"/>
        </w:rPr>
        <w:t xml:space="preserve"> [5]</w:t>
      </w:r>
      <w:r w:rsidRPr="00EE4DE7">
        <w:rPr>
          <w:sz w:val="24"/>
          <w:szCs w:val="24"/>
        </w:rPr>
        <w:t>. «Мягкая сила» предполагает такие инструменты, как образовательные обмены, культурные мероприятия, развитие туризма, поддержку гуманитарных программ в развивающихся странах и активное присутствие в новых медиа. Именно эти аспекты помогают выстраивать непрямые каналы коммуникации, когда формальные дипотношения затруднены.</w:t>
      </w:r>
    </w:p>
    <w:p w14:paraId="77E29312" w14:textId="77777777" w:rsidR="00027453" w:rsidRDefault="009A355B" w:rsidP="00027453">
      <w:pPr>
        <w:pStyle w:val="TNR"/>
        <w:spacing w:line="240" w:lineRule="auto"/>
        <w:rPr>
          <w:sz w:val="24"/>
          <w:szCs w:val="24"/>
        </w:rPr>
      </w:pPr>
      <w:r w:rsidRPr="00EE4DE7">
        <w:rPr>
          <w:sz w:val="24"/>
          <w:szCs w:val="24"/>
        </w:rPr>
        <w:t>Одним из самых заметных проявлений «мягкой силы» Тайваня стал успех в области высоких технологий и инноваций. Сформировав свою высокотехнологичную индустрию, Тайвань сумел закрепиться в качестве одного из ведущих производителей электроники и полупроводников, обеспечивая поставки компонентов для мировых IT-гигантов. Подобная технологическая мощь, с одной стороны, повышает экономическую значимость страны и укрепляет связи с международными корпорациями, а с другой — служит точкой входа для дипломатических контактов, поскольку стабильное функционирование мировых рынков зачастую причастно к тайваньской технологической инфраструктуре. В то же время растет и доверие к тайваньской системе образования: университеты Тайваня становятся площадками для обучения зарубежных студентов, а академические программы позволяют формировать лояльные и заинтересованные элиты, знакомые с демократическим опытом и культурными ценностями острова.</w:t>
      </w:r>
    </w:p>
    <w:p w14:paraId="63509B7C" w14:textId="1ABE2A85" w:rsidR="00027453" w:rsidRPr="00027453" w:rsidRDefault="00027453" w:rsidP="00027453">
      <w:pPr>
        <w:pStyle w:val="TNR"/>
        <w:spacing w:line="240" w:lineRule="auto"/>
        <w:rPr>
          <w:color w:val="000000" w:themeColor="text1"/>
          <w:sz w:val="24"/>
          <w:szCs w:val="24"/>
        </w:rPr>
      </w:pPr>
      <w:r w:rsidRPr="00027453">
        <w:rPr>
          <w:color w:val="000000" w:themeColor="text1"/>
          <w:sz w:val="24"/>
          <w:szCs w:val="24"/>
        </w:rPr>
        <w:t>Однако эффективность подобной «мягкой силы» может быть значительно снижена, если не будут созданы механизмы противодействия дезинформационным атакам, направленным на дискредитацию Тайваня и его государственных институтов. Современные информационные войны характеризуются тщательно скоординированными кампаниями, которые через социальные платформы распространяют искаженные данные и манипулируют общественным мнением. В частности, нарративы о «незаконном режиме» или «неполноценном государстве» активно поддерживаются определенными политическими силами на международной арене.</w:t>
      </w:r>
      <w:r w:rsidRPr="00027453">
        <w:rPr>
          <w:color w:val="000000" w:themeColor="text1"/>
          <w:sz w:val="24"/>
          <w:szCs w:val="24"/>
        </w:rPr>
        <w:t xml:space="preserve"> </w:t>
      </w:r>
      <w:r w:rsidRPr="00027453">
        <w:rPr>
          <w:color w:val="000000" w:themeColor="text1"/>
          <w:sz w:val="24"/>
          <w:szCs w:val="24"/>
        </w:rPr>
        <w:t>Для противодействия таким вызовам Тайваню необходимы сильные медиаресурсы, способные оперативно и эффективно доносить свою позицию до мировой аудитории. Кроме того, ключевое значение приобретает сотрудничество с иностранными журналистами и медиаэкспертами. Приглашение их на остров для ознакомления с местной реальностью позволяет обеспечить объективное освещение событий. Качественные репортажи, документальные фильмы и аналитические материалы, посвященные демократическим институтам и общественной жизни Тайваня, способны не только развеять существующие стереотипы, но и сформировать более глубокое понимание его уникального опыта в регионе.</w:t>
      </w:r>
    </w:p>
    <w:p w14:paraId="6176DC9D" w14:textId="0872327A" w:rsidR="000C2924" w:rsidRDefault="000C2924" w:rsidP="000C2924">
      <w:pPr>
        <w:pStyle w:val="TNR"/>
        <w:spacing w:line="240" w:lineRule="auto"/>
        <w:rPr>
          <w:rFonts w:eastAsia="Times New Roman"/>
          <w:color w:val="000000" w:themeColor="text1"/>
          <w:sz w:val="24"/>
          <w:szCs w:val="24"/>
          <w:lang w:val="en-RU"/>
        </w:rPr>
      </w:pPr>
      <w:r w:rsidRPr="000C2924">
        <w:rPr>
          <w:rFonts w:eastAsia="Times New Roman"/>
          <w:color w:val="000000" w:themeColor="text1"/>
          <w:sz w:val="24"/>
          <w:szCs w:val="24"/>
          <w:lang w:val="en-RU"/>
        </w:rPr>
        <w:t>В условиях цифровой трансформации глобальной коммуникационной среды стратегически значимым становится эффективное выстраивание цифрового присутствия в социальных сетях. Официальные представители, политические деятели и представители гражданского общества Тайваня активно используют платформы, такие как X (ранее Twitter), Facebook, Instagram и д</w:t>
      </w:r>
      <w:r w:rsidR="00E42458">
        <w:rPr>
          <w:rFonts w:eastAsia="Times New Roman"/>
          <w:color w:val="000000" w:themeColor="text1"/>
          <w:sz w:val="24"/>
          <w:szCs w:val="24"/>
        </w:rPr>
        <w:t>р</w:t>
      </w:r>
      <w:r w:rsidR="00E42458" w:rsidRPr="00E42458">
        <w:rPr>
          <w:rFonts w:eastAsia="Times New Roman"/>
          <w:color w:val="000000" w:themeColor="text1"/>
          <w:sz w:val="24"/>
          <w:szCs w:val="24"/>
        </w:rPr>
        <w:t>.</w:t>
      </w:r>
      <w:r w:rsidRPr="000C2924">
        <w:rPr>
          <w:rFonts w:eastAsia="Times New Roman"/>
          <w:color w:val="000000" w:themeColor="text1"/>
          <w:sz w:val="24"/>
          <w:szCs w:val="24"/>
          <w:lang w:val="en-RU"/>
        </w:rPr>
        <w:t>, для установления прямого диалога с международной аудиторией. Данный подход позволяет не только транслировать ключевые достижения и ценности Тайваня, но и формировать устойчивый эмоциональный резонанс среди зарубежной публики, преодолевая географические и политические барьеры.</w:t>
      </w: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0C2924">
        <w:rPr>
          <w:rFonts w:eastAsia="Times New Roman"/>
          <w:color w:val="000000" w:themeColor="text1"/>
          <w:sz w:val="24"/>
          <w:szCs w:val="24"/>
          <w:lang w:val="en-RU"/>
        </w:rPr>
        <w:t>Особое значение приобретают пользовательские кампании, приуроченные к значимым политическим, культурным или историческим событиям. Такие инициативы способствуют не только популяризации образа Тайваня как динамичного и открытого субъекта международных отношений, но и создают альтернативный канал коммуникации, дополняющий традиционные дипломатические инструменты. В отличие от формализованных дипломатических нот, сообщения в социальных сетях отличаются более персонифицированной и доверительной тональностью, что усиливает их воздействие на целевую аудиторию.</w:t>
      </w:r>
    </w:p>
    <w:p w14:paraId="586534BC" w14:textId="63E1A2AE" w:rsidR="000C2924" w:rsidRPr="000C2924" w:rsidRDefault="000C2924" w:rsidP="000C2924">
      <w:pPr>
        <w:pStyle w:val="TNR"/>
        <w:spacing w:line="240" w:lineRule="auto"/>
        <w:rPr>
          <w:color w:val="000000" w:themeColor="text1"/>
          <w:sz w:val="24"/>
          <w:szCs w:val="24"/>
        </w:rPr>
      </w:pPr>
      <w:r w:rsidRPr="000C2924">
        <w:rPr>
          <w:rFonts w:eastAsia="Times New Roman"/>
          <w:color w:val="000000" w:themeColor="text1"/>
          <w:sz w:val="24"/>
          <w:szCs w:val="24"/>
          <w:lang w:val="en-RU"/>
        </w:rPr>
        <w:t xml:space="preserve">Таким образом, цифровые платформы становятся важным инструментом публичной дипломатии, позволяющим Тайваню не только укреплять свои международные позиции, но и формировать </w:t>
      </w:r>
      <w:r>
        <w:rPr>
          <w:rFonts w:eastAsia="Times New Roman"/>
          <w:color w:val="000000" w:themeColor="text1"/>
          <w:sz w:val="24"/>
          <w:szCs w:val="24"/>
        </w:rPr>
        <w:t>нарративы</w:t>
      </w:r>
      <w:r w:rsidRPr="000C2924">
        <w:rPr>
          <w:rFonts w:eastAsia="Times New Roman"/>
          <w:color w:val="000000" w:themeColor="text1"/>
          <w:sz w:val="24"/>
          <w:szCs w:val="24"/>
          <w:lang w:val="en-RU"/>
        </w:rPr>
        <w:t>, направленные на признание его уникального статуса в глобальной политической системе. Этот подход отражает общемировую тенденцию, где цифровая дипломатия все чаще используется для преодоления ограничений традиционной дипломатии и установления прямого контакта с глобальной аудиторией.</w:t>
      </w:r>
    </w:p>
    <w:p w14:paraId="25524964" w14:textId="197D1D6B" w:rsidR="00142A9A" w:rsidRPr="000C2924" w:rsidRDefault="00142A9A" w:rsidP="000C2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RU"/>
        </w:rPr>
      </w:pPr>
    </w:p>
    <w:p w14:paraId="265B2275" w14:textId="77777777" w:rsidR="00477D14" w:rsidRPr="00EE4DE7" w:rsidRDefault="00477D14" w:rsidP="00EE4DE7">
      <w:pPr>
        <w:pStyle w:val="TNR"/>
        <w:spacing w:line="240" w:lineRule="auto"/>
        <w:rPr>
          <w:sz w:val="24"/>
          <w:szCs w:val="24"/>
        </w:rPr>
      </w:pPr>
    </w:p>
    <w:p w14:paraId="2A3FA497" w14:textId="3106F96F" w:rsidR="003E7075" w:rsidRPr="00EE4DE7" w:rsidRDefault="002124A6" w:rsidP="00EE4DE7">
      <w:pPr>
        <w:pStyle w:val="TNR"/>
        <w:spacing w:line="240" w:lineRule="auto"/>
        <w:outlineLvl w:val="0"/>
        <w:rPr>
          <w:b/>
          <w:sz w:val="24"/>
          <w:szCs w:val="24"/>
        </w:rPr>
      </w:pPr>
      <w:r w:rsidRPr="00EE4DE7">
        <w:rPr>
          <w:b/>
          <w:sz w:val="24"/>
          <w:szCs w:val="24"/>
        </w:rPr>
        <w:t>Список литературы</w:t>
      </w:r>
    </w:p>
    <w:p w14:paraId="7B13776E" w14:textId="3649F8D3" w:rsidR="00F4025C" w:rsidRPr="00EE4DE7" w:rsidRDefault="00F4025C" w:rsidP="00EE4DE7">
      <w:pPr>
        <w:pStyle w:val="TNR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EE4DE7">
        <w:rPr>
          <w:sz w:val="24"/>
          <w:szCs w:val="24"/>
        </w:rPr>
        <w:t>Несвитайло</w:t>
      </w:r>
      <w:proofErr w:type="spellEnd"/>
      <w:r w:rsidRPr="00EE4DE7">
        <w:rPr>
          <w:sz w:val="24"/>
          <w:szCs w:val="24"/>
        </w:rPr>
        <w:t xml:space="preserve"> Н. Л. Умышленное публичное распространение недостоверной общественно значимой информации в СМИ как угроза международному миру и безопасности государства // Вестник Донбасской юридической академии. Юридические науки. 2022. № 20. С. 56–65.</w:t>
      </w:r>
    </w:p>
    <w:p w14:paraId="1D4C666B" w14:textId="77777777" w:rsidR="00F4025C" w:rsidRPr="00EE4DE7" w:rsidRDefault="00F4025C" w:rsidP="00EE4DE7">
      <w:pPr>
        <w:pStyle w:val="TNR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EE4DE7">
        <w:rPr>
          <w:sz w:val="24"/>
          <w:szCs w:val="24"/>
        </w:rPr>
        <w:t>Ниточкин</w:t>
      </w:r>
      <w:proofErr w:type="spellEnd"/>
      <w:r w:rsidRPr="00EE4DE7">
        <w:rPr>
          <w:sz w:val="24"/>
          <w:szCs w:val="24"/>
        </w:rPr>
        <w:t xml:space="preserve"> Ф. В. "Мягкая сила", "цветная революция" и гибридная война: публичная дипломатия </w:t>
      </w:r>
      <w:proofErr w:type="spellStart"/>
      <w:r w:rsidRPr="00EE4DE7">
        <w:rPr>
          <w:sz w:val="24"/>
          <w:szCs w:val="24"/>
        </w:rPr>
        <w:t>vs</w:t>
      </w:r>
      <w:proofErr w:type="spellEnd"/>
      <w:r w:rsidRPr="00EE4DE7">
        <w:rPr>
          <w:sz w:val="24"/>
          <w:szCs w:val="24"/>
        </w:rPr>
        <w:t xml:space="preserve"> политическая технология // Дипломатическая служба. 2023. № 3. С. 207–224.</w:t>
      </w:r>
    </w:p>
    <w:p w14:paraId="3CE7510B" w14:textId="77777777" w:rsidR="00F4025C" w:rsidRPr="00EE4DE7" w:rsidRDefault="00F4025C" w:rsidP="00EE4DE7">
      <w:pPr>
        <w:pStyle w:val="TNR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EE4DE7">
        <w:rPr>
          <w:sz w:val="24"/>
          <w:szCs w:val="24"/>
        </w:rPr>
        <w:t>Братковская</w:t>
      </w:r>
      <w:proofErr w:type="spellEnd"/>
      <w:r w:rsidRPr="00EE4DE7">
        <w:rPr>
          <w:sz w:val="24"/>
          <w:szCs w:val="24"/>
        </w:rPr>
        <w:t xml:space="preserve"> Д. В., Рогова Я. Д., Токарева С. А. Эволюция публичной дипломатии: от традиционной к цифровой // Евразийский Союз: вопросы международных отношений. 2024. Т. 13. № 3 (56). С. 720–727.</w:t>
      </w:r>
    </w:p>
    <w:p w14:paraId="1F2F2E7A" w14:textId="77777777" w:rsidR="00F4025C" w:rsidRPr="00EE4DE7" w:rsidRDefault="00F4025C" w:rsidP="00EE4DE7">
      <w:pPr>
        <w:pStyle w:val="TNR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EE4DE7">
        <w:rPr>
          <w:sz w:val="24"/>
          <w:szCs w:val="24"/>
        </w:rPr>
        <w:t>Ким Г. Н. Публичная дипломатия в отношениях с Северной Кореей: утопия или нереализованная возможность? // Корееведение в России: направление и развитие. 2022. Т. 3. № 1. С. 106–111.</w:t>
      </w:r>
    </w:p>
    <w:p w14:paraId="67284504" w14:textId="31341658" w:rsidR="003E7075" w:rsidRPr="00EE4DE7" w:rsidRDefault="00F4025C" w:rsidP="00EE4DE7">
      <w:pPr>
        <w:pStyle w:val="TNR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EE4DE7">
        <w:rPr>
          <w:sz w:val="24"/>
          <w:szCs w:val="24"/>
        </w:rPr>
        <w:t>Цветкова Н. А. Цифровизация публичной дипломатии США // Актуальные проблемы мировой политики. Ежегодный альманах. Санкт Петербург, 2020. С. 432–443.</w:t>
      </w:r>
    </w:p>
    <w:sectPr w:rsidR="003E7075" w:rsidRPr="00EE4DE7" w:rsidSect="004271A2">
      <w:footerReference w:type="default" r:id="rId8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C2F8" w14:textId="77777777" w:rsidR="00AC6539" w:rsidRDefault="00AC6539" w:rsidP="001975B5">
      <w:pPr>
        <w:spacing w:after="0" w:line="240" w:lineRule="auto"/>
      </w:pPr>
      <w:r>
        <w:separator/>
      </w:r>
    </w:p>
  </w:endnote>
  <w:endnote w:type="continuationSeparator" w:id="0">
    <w:p w14:paraId="367E6293" w14:textId="77777777" w:rsidR="00AC6539" w:rsidRDefault="00AC6539" w:rsidP="0019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193173"/>
      <w:docPartObj>
        <w:docPartGallery w:val="Page Numbers (Bottom of Page)"/>
        <w:docPartUnique/>
      </w:docPartObj>
    </w:sdtPr>
    <w:sdtEndPr/>
    <w:sdtContent>
      <w:p w14:paraId="00631FDC" w14:textId="602D20D2" w:rsidR="001975B5" w:rsidRDefault="001975B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0D24" w14:textId="77777777" w:rsidR="00AC6539" w:rsidRDefault="00AC6539" w:rsidP="001975B5">
      <w:pPr>
        <w:spacing w:after="0" w:line="240" w:lineRule="auto"/>
      </w:pPr>
      <w:r>
        <w:separator/>
      </w:r>
    </w:p>
  </w:footnote>
  <w:footnote w:type="continuationSeparator" w:id="0">
    <w:p w14:paraId="76BD87DD" w14:textId="77777777" w:rsidR="00AC6539" w:rsidRDefault="00AC6539" w:rsidP="00197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657A0"/>
    <w:multiLevelType w:val="hybridMultilevel"/>
    <w:tmpl w:val="96DCF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DC"/>
    <w:rsid w:val="00027453"/>
    <w:rsid w:val="00072EA6"/>
    <w:rsid w:val="000C2924"/>
    <w:rsid w:val="000F3D85"/>
    <w:rsid w:val="00142A9A"/>
    <w:rsid w:val="00174100"/>
    <w:rsid w:val="001975B5"/>
    <w:rsid w:val="002124A6"/>
    <w:rsid w:val="002E7FC3"/>
    <w:rsid w:val="003E7075"/>
    <w:rsid w:val="0041489B"/>
    <w:rsid w:val="004222BC"/>
    <w:rsid w:val="004271A2"/>
    <w:rsid w:val="00477D14"/>
    <w:rsid w:val="00735576"/>
    <w:rsid w:val="007B7C77"/>
    <w:rsid w:val="00881D99"/>
    <w:rsid w:val="008A6F29"/>
    <w:rsid w:val="009A355B"/>
    <w:rsid w:val="009C028E"/>
    <w:rsid w:val="009D774D"/>
    <w:rsid w:val="00AC6539"/>
    <w:rsid w:val="00B33554"/>
    <w:rsid w:val="00B34E1C"/>
    <w:rsid w:val="00BA2285"/>
    <w:rsid w:val="00BA5C45"/>
    <w:rsid w:val="00BB00BA"/>
    <w:rsid w:val="00BB3EE1"/>
    <w:rsid w:val="00C01A1D"/>
    <w:rsid w:val="00E06B55"/>
    <w:rsid w:val="00E42458"/>
    <w:rsid w:val="00E550F3"/>
    <w:rsid w:val="00E66CE5"/>
    <w:rsid w:val="00EE4DE7"/>
    <w:rsid w:val="00F4025C"/>
    <w:rsid w:val="00FA22DC"/>
    <w:rsid w:val="00FB0877"/>
    <w:rsid w:val="00FB5A57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1D1D5E"/>
  <w15:chartTrackingRefBased/>
  <w15:docId w15:val="{312B9FB9-5A39-497F-8E61-8EFE2AD4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">
    <w:name w:val="TNR"/>
    <w:basedOn w:val="Normal"/>
    <w:link w:val="TNR0"/>
    <w:qFormat/>
    <w:rsid w:val="00FB0877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NR0">
    <w:name w:val="TNR Знак"/>
    <w:basedOn w:val="DefaultParagraphFont"/>
    <w:link w:val="TNR"/>
    <w:rsid w:val="00FB0877"/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9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5B5"/>
  </w:style>
  <w:style w:type="paragraph" w:styleId="Footer">
    <w:name w:val="footer"/>
    <w:basedOn w:val="Normal"/>
    <w:link w:val="FooterChar"/>
    <w:uiPriority w:val="99"/>
    <w:unhideWhenUsed/>
    <w:rsid w:val="0019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5B5"/>
  </w:style>
  <w:style w:type="paragraph" w:styleId="FootnoteText">
    <w:name w:val="footnote text"/>
    <w:basedOn w:val="Normal"/>
    <w:link w:val="FootnoteTextChar"/>
    <w:uiPriority w:val="99"/>
    <w:semiHidden/>
    <w:unhideWhenUsed/>
    <w:rsid w:val="003E70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0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707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292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92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292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C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RU"/>
    </w:rPr>
  </w:style>
  <w:style w:type="paragraph" w:customStyle="1" w:styleId="s5">
    <w:name w:val="s5"/>
    <w:basedOn w:val="Normal"/>
    <w:rsid w:val="0002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RU"/>
    </w:rPr>
  </w:style>
  <w:style w:type="character" w:customStyle="1" w:styleId="s4">
    <w:name w:val="s4"/>
    <w:basedOn w:val="DefaultParagraphFont"/>
    <w:rsid w:val="00027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F751-0A0B-4216-9541-DA84EF53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2025-02-27T11:56:00Z</dcterms:created>
  <dcterms:modified xsi:type="dcterms:W3CDTF">2025-02-27T11:56:00Z</dcterms:modified>
</cp:coreProperties>
</file>