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Наследие Движения неприсоединения во внешней политике Малайзии на современном этапе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Перова Полина Станиславовна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Студентка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Санкт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Петербургский государственный университет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Факультет международных отношений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Санкт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Петербург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Россия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instrText xml:space="preserve"> HYPERLINK "mailto:perovaps04@gmail.com"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perovaps04@gmail.com</w:t>
      </w: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ab/>
        <w:t xml:space="preserve">С приходом к власти Анвара Ибрагима в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2022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году в политическом дискурсе Малайзии вновь начала набирать популярность идея о неприсоединении к блокам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По оценкам аналитиков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Малайзия как значимый актор в Азиатско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Тихоокеанском регионе относится к категории средних держав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(</w:t>
      </w:r>
      <w:r>
        <w:rPr>
          <w:rFonts w:ascii="Times New Roman" w:hAnsi="Times New Roman"/>
          <w:i w:val="1"/>
          <w:iCs w:val="1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middle power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Аспекты политики неприсоединения схожи с хеджированием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стратегией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к которой прибегают средние державы в ситуациях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где баласирование или примыкание не ответит национальным интересам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[2]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Целью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исследования является оценка влияния традиционной для Малайзии в ХХ веке политики неприсоединения на формулирование внешнеполитического курса после прихода к власти Анвара Ибрагима в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2022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году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ab/>
        <w:t xml:space="preserve">Исследование выполнено в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теоретической рамке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классического неореализма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Так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теория подразумевает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что политика государства во многом продиктована системными факторами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однако на её имплементацию также влияют структурные особенности государства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Методологическую базу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исследования представляет историко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генетический метод и качественный контент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анализ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Научная </w:t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новизна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определяется недостаточной степенью разработанности темы в российском академическом сообществе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ab/>
      </w:r>
      <w:r>
        <w:rPr>
          <w:rFonts w:ascii="Times New Roman" w:hAnsi="Times New Roman" w:hint="default"/>
          <w:i w:val="1"/>
          <w:i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Актуальность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научной работы выражается в возрастающей роли стран Глобального Юга на международной арене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Так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страны АСЕАН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входящие в это понятие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всё чаще приковывают внимание исследователей с точки зрения архитектуры безопасности и вопросов идентичности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Малайзия видится одним из релевантных примеров средней державы с многовекторной политикой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что вынуждает её придерживаться линии нейтралитета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ab/>
        <w:t>В результате исследования было определено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что приоритизация АСЕАН и стремление к асеаноцентричной системе безопасности в Юго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Восточной Азии связывают современный внешнеполитический вектор Куала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Лумпура с нарративами неприсоединения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[1]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Попытка сближения с КНР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а также противодействие дискриминации ханьцев в Малайзии также отсылает к постулатам малайзийской внешней политики в период Холодной войны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Несмотря на противоречивую оценку в экспертных кругах политики Анвара Ибрагима в отношении БРИКС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официальные лица Малайзии склонны подчёркивать партнёрство с этой площадкой как прямое продолжение традиционной для Куала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Лумпура политики неприсоединения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[4]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Важно отметить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что помимо тесных связей с развивающимися экономиками торговое сотрудничество со странами коллективного Запада также продолжает набирать обороты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на сегодняшний день наследие Движения неприсоединения оказывает серьёзное влияние на внешнеполитический курс Малайзии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bidi w:val="0"/>
        <w:spacing w:before="0" w:after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Литература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1)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Лоссовский Игорь Евгеньевич Эволюция внешней политики Малайзии как отражение внутреннего исторического развития страны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Гуманитарные исследования в Восточной Сибири и на Дальнем Востоке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. 2011.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№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3.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2)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Колдунова Е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Юго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Восточная Азия между США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Китаем и Россией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В поисках ускользающего равновесия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Международные процессы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2024.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 Том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53535"/>
            </w14:solidFill>
          </w14:textFill>
        </w:rPr>
        <w:t xml:space="preserve">22, No 1 (76),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сс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. 106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–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123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3)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Analysts hail Malaysia for nonalignment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53535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Эл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ресурс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] //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China Daily Hong Kong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: [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сайт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]. 2024. URL: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instrText xml:space="preserve"> HYPERLINK "https://www.chinadailyhk.com/hk/article/591340"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https://www.chinadailyhk.com/hk/article/591340</w:t>
      </w: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end" w:fldLock="0"/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4)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nl-NL"/>
          <w14:textFill>
            <w14:solidFill>
              <w14:srgbClr w14:val="353535"/>
            </w14:solidFill>
          </w14:textFill>
        </w:rPr>
        <w:t>Malaysia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1"/>
          <w14:textFill>
            <w14:solidFill>
              <w14:srgbClr w14:val="353535"/>
            </w14:solidFill>
          </w14:textFill>
        </w:rPr>
        <w:t>’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s BRICS Bid: Not Aligning Away from Non-Alignment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. [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Эл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ресурс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]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//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Fulcrum: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53535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>сайт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pt-PT"/>
          <w14:textFill>
            <w14:solidFill>
              <w14:srgbClr w14:val="353535"/>
            </w14:solidFill>
          </w14:textFill>
        </w:rPr>
        <w:t>]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. 2024.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instrText xml:space="preserve"> HYPERLINK "https://fulcrum.sg/malaysias-brics-bid-not-aligning-away-from-non-alignment/"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https://fulcrum.sg/malaysias-brics-bid-not-aligning-away-from-non-alignment/</w:t>
      </w: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5)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Mohd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F.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M.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nl-NL"/>
          <w14:textFill>
            <w14:solidFill>
              <w14:srgbClr w14:val="353535"/>
            </w14:solidFill>
          </w14:textFill>
        </w:rPr>
        <w:t>Malaysia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1"/>
          <w14:textFill>
            <w14:solidFill>
              <w14:srgbClr w14:val="353535"/>
            </w14:solidFill>
          </w14:textFill>
        </w:rPr>
        <w:t>’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s responses to issues pertaining to Palestine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Singapor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e: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ISEAS </w:t>
      </w:r>
      <w:r>
        <w:rPr>
          <w:rFonts w:ascii="Times New Roman" w:hAnsi="Times New Roman" w:hint="default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>Yusof Ishak Institute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.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2024.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instrText xml:space="preserve"> HYPERLINK "https://www.iseas.edu.sg/wp-content/uploads/2024/05/TRS13_24.pdf"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343434"/>
          <w:shd w:val="clear" w:color="auto" w:fill="ffffff"/>
          <w:rtl w:val="0"/>
          <w:lang w:val="en-US"/>
          <w14:textFill>
            <w14:solidFill>
              <w14:srgbClr w14:val="353535"/>
            </w14:solidFill>
          </w14:textFill>
        </w:rPr>
        <w:t>https://www.iseas.edu.sg/wp-content/uploads/2024/05/TRS13_24.pdf</w:t>
      </w:r>
      <w:r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  <w:fldChar w:fldCharType="end" w:fldLock="0"/>
      </w:r>
      <w:r>
        <w:rPr>
          <w:rFonts w:ascii="Times New Roman" w:hAnsi="Times New Roman"/>
          <w:outline w:val="0"/>
          <w:color w:val="343434"/>
          <w:shd w:val="clear" w:color="auto" w:fill="ffffff"/>
          <w:rtl w:val="0"/>
          <w:lang w:val="ru-RU"/>
          <w14:textFill>
            <w14:solidFill>
              <w14:srgbClr w14:val="353535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43434"/>
          <w:shd w:val="clear" w:color="auto" w:fill="ffffff"/>
          <w:rtl w:val="0"/>
          <w14:textFill>
            <w14:solidFill>
              <w14:srgbClr w14:val="353535"/>
            </w14:solidFill>
          </w14:textFill>
        </w:rPr>
      </w:pPr>
    </w:p>
    <w:p>
      <w:pPr>
        <w:pStyle w:val="По умолчанию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outline w:val="0"/>
          <w:color w:val="343434"/>
          <w:sz w:val="30"/>
          <w:szCs w:val="30"/>
          <w:shd w:val="clear" w:color="auto" w:fill="ffffff"/>
          <w:rtl w:val="0"/>
          <w14:textFill>
            <w14:solidFill>
              <w14:srgbClr w14:val="353535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