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1EF4" w14:textId="77777777" w:rsidR="001349A7" w:rsidRPr="001349A7" w:rsidRDefault="001349A7" w:rsidP="001349A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9A7">
        <w:rPr>
          <w:rFonts w:ascii="Times New Roman" w:hAnsi="Times New Roman" w:cs="Times New Roman"/>
          <w:b/>
          <w:bCs/>
          <w:sz w:val="24"/>
          <w:szCs w:val="24"/>
        </w:rPr>
        <w:t>Курдский вопрос в Турции и пропаганда в период со второй половины XIX по начало XXI вв.</w:t>
      </w:r>
    </w:p>
    <w:p w14:paraId="46917F77" w14:textId="4FC5EFB0" w:rsidR="00456E36" w:rsidRPr="001349A7" w:rsidRDefault="001349A7" w:rsidP="001349A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49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Багирова А.Э.</w:t>
      </w:r>
    </w:p>
    <w:p w14:paraId="22E6DDB7" w14:textId="64439470" w:rsidR="001349A7" w:rsidRPr="001349A7" w:rsidRDefault="001349A7" w:rsidP="001349A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349A7"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</w:p>
    <w:p w14:paraId="476D1679" w14:textId="11CEC085" w:rsidR="001349A7" w:rsidRPr="001349A7" w:rsidRDefault="001349A7" w:rsidP="001349A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349A7">
        <w:rPr>
          <w:rFonts w:ascii="Times New Roman" w:hAnsi="Times New Roman" w:cs="Times New Roman"/>
          <w:i/>
          <w:iCs/>
          <w:sz w:val="24"/>
          <w:szCs w:val="24"/>
        </w:rPr>
        <w:t>Российский государственный гуманитарный университет, Институт евразийских и межрегиональных исследований, Москва, Россия</w:t>
      </w:r>
    </w:p>
    <w:p w14:paraId="33A858E6" w14:textId="77777777" w:rsidR="001349A7" w:rsidRPr="001349A7" w:rsidRDefault="001349A7" w:rsidP="001349A7">
      <w:pPr>
        <w:spacing w:after="0" w:line="240" w:lineRule="auto"/>
        <w:ind w:left="1361" w:right="1361" w:firstLine="397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349A7">
        <w:rPr>
          <w:rFonts w:ascii="Times New Roman" w:hAnsi="Times New Roman" w:cs="Times New Roman"/>
          <w:i/>
          <w:iCs/>
          <w:sz w:val="24"/>
          <w:szCs w:val="24"/>
          <w:lang w:val="en-US"/>
        </w:rPr>
        <w:t>E-mail: aminaa.bagirovaa@mail.ru</w:t>
      </w:r>
    </w:p>
    <w:p w14:paraId="56CB7187" w14:textId="77777777" w:rsidR="001349A7" w:rsidRPr="00D9721F" w:rsidRDefault="001349A7" w:rsidP="001349A7">
      <w:pPr>
        <w:spacing w:after="0" w:line="240" w:lineRule="auto"/>
        <w:ind w:right="1361"/>
        <w:rPr>
          <w:rFonts w:ascii="Times New Roman" w:hAnsi="Times New Roman" w:cs="Times New Roman"/>
          <w:sz w:val="24"/>
          <w:szCs w:val="24"/>
          <w:lang w:val="en-US"/>
        </w:rPr>
      </w:pPr>
    </w:p>
    <w:p w14:paraId="061FEF1B" w14:textId="75311560" w:rsidR="001349A7" w:rsidRPr="00CB2530" w:rsidRDefault="001349A7" w:rsidP="002176C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>В настоящем докладе автор рассматривает проблему</w:t>
      </w:r>
      <w:r w:rsidR="007325B4"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использования пропаганды вокруг курдского вопроса в Турции в период со второй половины </w:t>
      </w:r>
      <w:r w:rsidR="007325B4" w:rsidRPr="00CB2530">
        <w:rPr>
          <w:rFonts w:ascii="Times New Roman" w:hAnsi="Times New Roman" w:cs="Times New Roman"/>
          <w:sz w:val="24"/>
          <w:szCs w:val="24"/>
        </w:rPr>
        <w:t xml:space="preserve">XIX по начало XXI вв. </w:t>
      </w:r>
      <w:bookmarkStart w:id="0" w:name="_Hlk192448742"/>
      <w:r w:rsidR="007B1073" w:rsidRPr="00CB2530">
        <w:rPr>
          <w:rFonts w:ascii="Times New Roman" w:hAnsi="Times New Roman" w:cs="Times New Roman"/>
          <w:sz w:val="24"/>
          <w:szCs w:val="24"/>
        </w:rPr>
        <w:t>Целью данного исследования является изучить эволюцию</w:t>
      </w:r>
      <w:r w:rsidR="007325B4" w:rsidRPr="00CB2530">
        <w:rPr>
          <w:rFonts w:ascii="Times New Roman" w:hAnsi="Times New Roman" w:cs="Times New Roman"/>
          <w:sz w:val="24"/>
          <w:szCs w:val="24"/>
        </w:rPr>
        <w:t xml:space="preserve"> пропаганды вокруг курдского вопроса в Турции в указанный период, выявив </w:t>
      </w:r>
      <w:r w:rsidR="00071E6E" w:rsidRPr="00CB2530">
        <w:rPr>
          <w:rFonts w:ascii="Times New Roman" w:hAnsi="Times New Roman" w:cs="Times New Roman"/>
          <w:sz w:val="24"/>
          <w:szCs w:val="24"/>
        </w:rPr>
        <w:t>ее</w:t>
      </w:r>
      <w:r w:rsidR="007325B4" w:rsidRPr="00CB2530">
        <w:rPr>
          <w:rFonts w:ascii="Times New Roman" w:hAnsi="Times New Roman" w:cs="Times New Roman"/>
          <w:sz w:val="24"/>
          <w:szCs w:val="24"/>
        </w:rPr>
        <w:t xml:space="preserve"> этапы, характерные черты и особенности, а также состав участников и характер их международного </w:t>
      </w:r>
      <w:r w:rsidR="007B1073" w:rsidRPr="00CB2530">
        <w:rPr>
          <w:rFonts w:ascii="Times New Roman" w:hAnsi="Times New Roman" w:cs="Times New Roman"/>
          <w:sz w:val="24"/>
          <w:szCs w:val="24"/>
        </w:rPr>
        <w:t>взаимодействия в контексте использования пропаганды.</w:t>
      </w:r>
      <w:bookmarkEnd w:id="0"/>
    </w:p>
    <w:p w14:paraId="34BF0968" w14:textId="7E016F0D" w:rsidR="00071E6E" w:rsidRPr="00CB2530" w:rsidRDefault="007325B4" w:rsidP="002176CF">
      <w:pPr>
        <w:pStyle w:val="Standard"/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2530">
        <w:rPr>
          <w:rFonts w:ascii="Times New Roman" w:hAnsi="Times New Roman" w:cs="Times New Roman"/>
          <w:sz w:val="24"/>
          <w:szCs w:val="24"/>
        </w:rPr>
        <w:t xml:space="preserve">Несмотря на широкую представленность работ, посвященных курдскому вопросу в Турции, стоит отметить отсутствие комплексного и системного исследования, которое сосредотачивается на анализе эволюции пропаганды относительно курдского вопроса в Турции и структурирует ее этапы, особенности и движущие </w:t>
      </w:r>
      <w:r w:rsidR="00556E00" w:rsidRPr="00CB2530">
        <w:rPr>
          <w:rFonts w:ascii="Times New Roman" w:hAnsi="Times New Roman" w:cs="Times New Roman"/>
          <w:sz w:val="24"/>
          <w:szCs w:val="24"/>
        </w:rPr>
        <w:t>силы</w:t>
      </w:r>
      <w:r w:rsidRPr="00CB2530">
        <w:rPr>
          <w:rFonts w:ascii="Times New Roman" w:hAnsi="Times New Roman" w:cs="Times New Roman"/>
          <w:sz w:val="24"/>
          <w:szCs w:val="24"/>
        </w:rPr>
        <w:t>.</w:t>
      </w:r>
      <w:r w:rsidR="00071E6E" w:rsidRPr="00CB2530">
        <w:rPr>
          <w:rFonts w:ascii="Times New Roman" w:hAnsi="Times New Roman" w:cs="Times New Roman"/>
          <w:sz w:val="24"/>
          <w:szCs w:val="24"/>
        </w:rPr>
        <w:t xml:space="preserve"> </w:t>
      </w:r>
      <w:r w:rsidRPr="00CB2530">
        <w:rPr>
          <w:rFonts w:ascii="Times New Roman" w:hAnsi="Times New Roman" w:cs="Times New Roman"/>
          <w:sz w:val="24"/>
          <w:szCs w:val="24"/>
        </w:rPr>
        <w:t>Тем не менее, некоторые работы зарубежных авторов, например «“</w:t>
      </w:r>
      <w:r w:rsidRPr="00CB253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B2530">
        <w:rPr>
          <w:rFonts w:ascii="Times New Roman" w:hAnsi="Times New Roman" w:cs="Times New Roman"/>
          <w:sz w:val="24"/>
          <w:szCs w:val="24"/>
        </w:rPr>
        <w:t xml:space="preserve"> </w:t>
      </w:r>
      <w:r w:rsidRPr="00CB2530">
        <w:rPr>
          <w:rFonts w:ascii="Times New Roman" w:hAnsi="Times New Roman" w:cs="Times New Roman"/>
          <w:sz w:val="24"/>
          <w:szCs w:val="24"/>
          <w:lang w:val="en-US"/>
        </w:rPr>
        <w:t>Kurdistan</w:t>
      </w:r>
      <w:r w:rsidRPr="00CB2530">
        <w:rPr>
          <w:rFonts w:ascii="Times New Roman" w:hAnsi="Times New Roman" w:cs="Times New Roman"/>
          <w:sz w:val="24"/>
          <w:szCs w:val="24"/>
        </w:rPr>
        <w:t xml:space="preserve"> </w:t>
      </w:r>
      <w:r w:rsidRPr="00CB253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CB2530">
        <w:rPr>
          <w:rFonts w:ascii="Times New Roman" w:hAnsi="Times New Roman" w:cs="Times New Roman"/>
          <w:sz w:val="24"/>
          <w:szCs w:val="24"/>
        </w:rPr>
        <w:t xml:space="preserve"> </w:t>
      </w:r>
      <w:r w:rsidRPr="00CB2530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CB2530">
        <w:rPr>
          <w:rFonts w:ascii="Times New Roman" w:hAnsi="Times New Roman" w:cs="Times New Roman"/>
          <w:sz w:val="24"/>
          <w:szCs w:val="24"/>
        </w:rPr>
        <w:t xml:space="preserve">”, </w:t>
      </w:r>
      <w:r w:rsidRPr="00CB253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B2530">
        <w:rPr>
          <w:rFonts w:ascii="Times New Roman" w:hAnsi="Times New Roman" w:cs="Times New Roman"/>
          <w:sz w:val="24"/>
          <w:szCs w:val="24"/>
        </w:rPr>
        <w:t xml:space="preserve"> </w:t>
      </w:r>
      <w:r w:rsidRPr="00CB253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urdish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Propaganda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Sponsored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by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Kurdish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Authorities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написанная ассирийским автором и активистом из Киркука, </w:t>
      </w:r>
      <w:r w:rsidR="00556E00"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>или «The Press and the Kurds: Propaganda War», опубликованная известным курдологом и политическим деятелем Тревором Рейном,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могут быть отмечены как</w:t>
      </w:r>
      <w:r w:rsidR="00556E00"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те, что сфокусированы 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>на похожей проблеме</w:t>
      </w:r>
      <w:r w:rsidR="00B053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725B7C" w14:textId="2A316670" w:rsidR="00071E6E" w:rsidRPr="00CB2530" w:rsidRDefault="00071E6E" w:rsidP="002176CF">
      <w:pPr>
        <w:pStyle w:val="Standard"/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2530">
        <w:rPr>
          <w:rFonts w:ascii="Times New Roman" w:hAnsi="Times New Roman" w:cs="Times New Roman"/>
          <w:sz w:val="24"/>
          <w:szCs w:val="24"/>
        </w:rPr>
        <w:t>В качестве работ, которые были использованы для изучения обозначенной проблемы, можно выделить</w:t>
      </w:r>
      <w:r w:rsidR="00D9721F" w:rsidRPr="00CB2530">
        <w:rPr>
          <w:rFonts w:ascii="Times New Roman" w:hAnsi="Times New Roman" w:cs="Times New Roman"/>
          <w:sz w:val="24"/>
          <w:szCs w:val="24"/>
        </w:rPr>
        <w:t>, например,</w:t>
      </w:r>
      <w:r w:rsidRPr="00CB2530">
        <w:rPr>
          <w:rFonts w:ascii="Times New Roman" w:hAnsi="Times New Roman" w:cs="Times New Roman"/>
          <w:sz w:val="24"/>
          <w:szCs w:val="24"/>
        </w:rPr>
        <w:t xml:space="preserve"> книгу </w:t>
      </w:r>
      <w:r w:rsidR="007325B4" w:rsidRPr="00CB2530">
        <w:rPr>
          <w:rFonts w:ascii="Times New Roman" w:hAnsi="Times New Roman" w:cs="Times New Roman"/>
          <w:sz w:val="24"/>
          <w:szCs w:val="24"/>
        </w:rPr>
        <w:t>видного советского специалиста по истории Турции и Курдистана М.А. Гасратяна, а именно «Курды в Турции в Новейшее время»</w:t>
      </w:r>
      <w:r w:rsidR="00CB2530" w:rsidRPr="00CB2530">
        <w:rPr>
          <w:rFonts w:ascii="Times New Roman" w:hAnsi="Times New Roman" w:cs="Times New Roman"/>
          <w:sz w:val="24"/>
          <w:szCs w:val="24"/>
        </w:rPr>
        <w:t xml:space="preserve"> [2]</w:t>
      </w:r>
      <w:r w:rsidR="00556E00" w:rsidRPr="00CB2530">
        <w:rPr>
          <w:rFonts w:ascii="Times New Roman" w:hAnsi="Times New Roman" w:cs="Times New Roman"/>
          <w:sz w:val="24"/>
          <w:szCs w:val="24"/>
        </w:rPr>
        <w:t xml:space="preserve">; </w:t>
      </w:r>
      <w:r w:rsidRPr="00CB2530">
        <w:rPr>
          <w:rFonts w:ascii="Times New Roman" w:hAnsi="Times New Roman" w:cs="Times New Roman"/>
          <w:sz w:val="24"/>
          <w:szCs w:val="24"/>
        </w:rPr>
        <w:t>труд</w:t>
      </w:r>
      <w:r w:rsidR="00556E00" w:rsidRPr="00CB2530">
        <w:rPr>
          <w:rFonts w:ascii="Times New Roman" w:hAnsi="Times New Roman" w:cs="Times New Roman"/>
          <w:sz w:val="24"/>
          <w:szCs w:val="24"/>
        </w:rPr>
        <w:t xml:space="preserve"> </w:t>
      </w:r>
      <w:r w:rsidR="007325B4" w:rsidRPr="00CB2530">
        <w:rPr>
          <w:rFonts w:ascii="Times New Roman" w:hAnsi="Times New Roman" w:cs="Times New Roman"/>
          <w:sz w:val="24"/>
          <w:szCs w:val="24"/>
        </w:rPr>
        <w:t>русского военного деятеля и военного востоковеда П.И. Аверьянова под названием «Курды в войнах России с Персией и Турцией»</w:t>
      </w:r>
      <w:r w:rsidR="00CB2530" w:rsidRPr="00CB2530">
        <w:rPr>
          <w:rFonts w:ascii="Times New Roman" w:hAnsi="Times New Roman" w:cs="Times New Roman"/>
          <w:sz w:val="24"/>
          <w:szCs w:val="24"/>
        </w:rPr>
        <w:t xml:space="preserve"> [1]</w:t>
      </w:r>
      <w:r w:rsidR="00B053DE">
        <w:rPr>
          <w:rFonts w:ascii="Times New Roman" w:hAnsi="Times New Roman" w:cs="Times New Roman"/>
          <w:sz w:val="24"/>
          <w:szCs w:val="24"/>
        </w:rPr>
        <w:t xml:space="preserve">; </w:t>
      </w:r>
      <w:r w:rsidRPr="00CB2530">
        <w:rPr>
          <w:rFonts w:ascii="Times New Roman" w:hAnsi="Times New Roman" w:cs="Times New Roman"/>
          <w:sz w:val="24"/>
          <w:szCs w:val="24"/>
        </w:rPr>
        <w:t xml:space="preserve">работу </w:t>
      </w:r>
      <w:r w:rsidR="00556E00" w:rsidRPr="00CB2530">
        <w:rPr>
          <w:rFonts w:ascii="Times New Roman" w:hAnsi="Times New Roman" w:cs="Times New Roman"/>
          <w:sz w:val="24"/>
          <w:szCs w:val="24"/>
        </w:rPr>
        <w:t>г</w:t>
      </w:r>
      <w:r w:rsidR="007325B4" w:rsidRPr="00CB2530">
        <w:rPr>
          <w:rFonts w:ascii="Times New Roman" w:hAnsi="Times New Roman" w:cs="Times New Roman"/>
          <w:sz w:val="24"/>
          <w:szCs w:val="24"/>
        </w:rPr>
        <w:t>олландск</w:t>
      </w:r>
      <w:r w:rsidR="00556E00" w:rsidRPr="00CB2530">
        <w:rPr>
          <w:rFonts w:ascii="Times New Roman" w:hAnsi="Times New Roman" w:cs="Times New Roman"/>
          <w:sz w:val="24"/>
          <w:szCs w:val="24"/>
        </w:rPr>
        <w:t xml:space="preserve">ого </w:t>
      </w:r>
      <w:r w:rsidR="007325B4" w:rsidRPr="00CB2530">
        <w:rPr>
          <w:rFonts w:ascii="Times New Roman" w:hAnsi="Times New Roman" w:cs="Times New Roman"/>
          <w:sz w:val="24"/>
          <w:szCs w:val="24"/>
        </w:rPr>
        <w:t>антрополог</w:t>
      </w:r>
      <w:r w:rsidR="00556E00" w:rsidRPr="00CB2530">
        <w:rPr>
          <w:rFonts w:ascii="Times New Roman" w:hAnsi="Times New Roman" w:cs="Times New Roman"/>
          <w:sz w:val="24"/>
          <w:szCs w:val="24"/>
        </w:rPr>
        <w:t>а</w:t>
      </w:r>
      <w:r w:rsidR="007325B4" w:rsidRPr="00CB2530">
        <w:rPr>
          <w:rFonts w:ascii="Times New Roman" w:hAnsi="Times New Roman" w:cs="Times New Roman"/>
          <w:sz w:val="24"/>
          <w:szCs w:val="24"/>
        </w:rPr>
        <w:t xml:space="preserve"> Мартин</w:t>
      </w:r>
      <w:r w:rsidR="00556E00" w:rsidRPr="00CB2530">
        <w:rPr>
          <w:rFonts w:ascii="Times New Roman" w:hAnsi="Times New Roman" w:cs="Times New Roman"/>
          <w:sz w:val="24"/>
          <w:szCs w:val="24"/>
        </w:rPr>
        <w:t>а</w:t>
      </w:r>
      <w:r w:rsidR="007325B4" w:rsidRPr="00CB2530">
        <w:rPr>
          <w:rFonts w:ascii="Times New Roman" w:hAnsi="Times New Roman" w:cs="Times New Roman"/>
          <w:sz w:val="24"/>
          <w:szCs w:val="24"/>
        </w:rPr>
        <w:t xml:space="preserve"> ван</w:t>
      </w:r>
      <w:r w:rsidR="00556E00" w:rsidRPr="00CB2530">
        <w:rPr>
          <w:rFonts w:ascii="Times New Roman" w:hAnsi="Times New Roman" w:cs="Times New Roman"/>
          <w:sz w:val="24"/>
          <w:szCs w:val="24"/>
        </w:rPr>
        <w:t>а</w:t>
      </w:r>
      <w:r w:rsidR="007325B4" w:rsidRPr="00CB2530">
        <w:rPr>
          <w:rFonts w:ascii="Times New Roman" w:hAnsi="Times New Roman" w:cs="Times New Roman"/>
          <w:sz w:val="24"/>
          <w:szCs w:val="24"/>
        </w:rPr>
        <w:t xml:space="preserve"> Брюнессен</w:t>
      </w:r>
      <w:r w:rsidR="00556E00" w:rsidRPr="00CB2530">
        <w:rPr>
          <w:rFonts w:ascii="Times New Roman" w:hAnsi="Times New Roman" w:cs="Times New Roman"/>
          <w:sz w:val="24"/>
          <w:szCs w:val="24"/>
        </w:rPr>
        <w:t>а</w:t>
      </w:r>
      <w:r w:rsidR="007325B4" w:rsidRPr="00CB2530">
        <w:rPr>
          <w:rFonts w:ascii="Times New Roman" w:hAnsi="Times New Roman" w:cs="Times New Roman"/>
          <w:sz w:val="24"/>
          <w:szCs w:val="24"/>
        </w:rPr>
        <w:t xml:space="preserve">, который проводил полевые исследования в Курдистане и по их завершении написал книгу </w:t>
      </w:r>
      <w:r w:rsidR="00204E2E">
        <w:rPr>
          <w:rFonts w:ascii="Times New Roman" w:hAnsi="Times New Roman" w:cs="Times New Roman"/>
          <w:sz w:val="24"/>
          <w:szCs w:val="24"/>
        </w:rPr>
        <w:t>«</w:t>
      </w:r>
      <w:r w:rsidR="00204E2E" w:rsidRPr="00204E2E">
        <w:rPr>
          <w:rFonts w:ascii="Times New Roman" w:hAnsi="Times New Roman" w:cs="Times New Roman"/>
          <w:sz w:val="24"/>
          <w:szCs w:val="24"/>
        </w:rPr>
        <w:t>Agha, Shaikh and State: The Social and Political Structures of Kurdistan</w:t>
      </w:r>
      <w:r w:rsidR="007325B4" w:rsidRPr="00CB2530">
        <w:rPr>
          <w:rFonts w:ascii="Times New Roman" w:hAnsi="Times New Roman" w:cs="Times New Roman"/>
          <w:sz w:val="24"/>
          <w:szCs w:val="24"/>
        </w:rPr>
        <w:t>»</w:t>
      </w:r>
      <w:r w:rsidR="00CB2530" w:rsidRPr="00CB2530">
        <w:rPr>
          <w:rFonts w:ascii="Times New Roman" w:hAnsi="Times New Roman" w:cs="Times New Roman"/>
          <w:sz w:val="24"/>
          <w:szCs w:val="24"/>
        </w:rPr>
        <w:t xml:space="preserve"> [</w:t>
      </w:r>
      <w:r w:rsidR="00204E2E" w:rsidRPr="00204E2E">
        <w:rPr>
          <w:rFonts w:ascii="Times New Roman" w:hAnsi="Times New Roman" w:cs="Times New Roman"/>
          <w:sz w:val="24"/>
          <w:szCs w:val="24"/>
        </w:rPr>
        <w:t>4</w:t>
      </w:r>
      <w:r w:rsidR="00CB2530" w:rsidRPr="00CB2530">
        <w:rPr>
          <w:rFonts w:ascii="Times New Roman" w:hAnsi="Times New Roman" w:cs="Times New Roman"/>
          <w:sz w:val="24"/>
          <w:szCs w:val="24"/>
        </w:rPr>
        <w:t>]</w:t>
      </w:r>
      <w:r w:rsidR="00B053DE">
        <w:rPr>
          <w:rFonts w:ascii="Times New Roman" w:hAnsi="Times New Roman" w:cs="Times New Roman"/>
          <w:sz w:val="24"/>
          <w:szCs w:val="24"/>
        </w:rPr>
        <w:t xml:space="preserve">; книгу </w:t>
      </w:r>
      <w:r w:rsidR="00204E2E">
        <w:rPr>
          <w:rFonts w:ascii="Times New Roman" w:hAnsi="Times New Roman" w:cs="Times New Roman"/>
          <w:sz w:val="24"/>
          <w:szCs w:val="24"/>
        </w:rPr>
        <w:t xml:space="preserve">российского курдолога </w:t>
      </w:r>
      <w:r w:rsidR="00B053DE">
        <w:rPr>
          <w:rFonts w:ascii="Times New Roman" w:hAnsi="Times New Roman" w:cs="Times New Roman"/>
          <w:sz w:val="24"/>
          <w:szCs w:val="24"/>
        </w:rPr>
        <w:t xml:space="preserve">В. Никитина «Курды» </w:t>
      </w:r>
      <w:r w:rsidR="00B053DE" w:rsidRPr="00CB2530">
        <w:rPr>
          <w:rFonts w:ascii="Times New Roman" w:hAnsi="Times New Roman" w:cs="Times New Roman"/>
          <w:sz w:val="24"/>
          <w:szCs w:val="24"/>
        </w:rPr>
        <w:t>[</w:t>
      </w:r>
      <w:r w:rsidR="00B053DE">
        <w:rPr>
          <w:rFonts w:ascii="Times New Roman" w:hAnsi="Times New Roman" w:cs="Times New Roman"/>
          <w:sz w:val="24"/>
          <w:szCs w:val="24"/>
        </w:rPr>
        <w:t>3</w:t>
      </w:r>
      <w:r w:rsidR="00B053DE" w:rsidRPr="00CB2530">
        <w:rPr>
          <w:rFonts w:ascii="Times New Roman" w:hAnsi="Times New Roman" w:cs="Times New Roman"/>
          <w:sz w:val="24"/>
          <w:szCs w:val="24"/>
        </w:rPr>
        <w:t>]</w:t>
      </w:r>
      <w:r w:rsidR="00B053DE">
        <w:rPr>
          <w:rFonts w:ascii="Times New Roman" w:hAnsi="Times New Roman" w:cs="Times New Roman"/>
          <w:sz w:val="24"/>
          <w:szCs w:val="24"/>
        </w:rPr>
        <w:t>, а также работу</w:t>
      </w:r>
      <w:r w:rsidR="00204E2E">
        <w:rPr>
          <w:rFonts w:ascii="Times New Roman" w:hAnsi="Times New Roman" w:cs="Times New Roman"/>
          <w:sz w:val="24"/>
          <w:szCs w:val="24"/>
        </w:rPr>
        <w:t xml:space="preserve"> американского ориенталиста</w:t>
      </w:r>
      <w:r w:rsidR="00B053DE">
        <w:rPr>
          <w:rFonts w:ascii="Times New Roman" w:hAnsi="Times New Roman" w:cs="Times New Roman"/>
          <w:sz w:val="24"/>
          <w:szCs w:val="24"/>
        </w:rPr>
        <w:t xml:space="preserve"> М. Гюнтера под названием «</w:t>
      </w:r>
      <w:r w:rsidR="00204E2E" w:rsidRPr="00204E2E">
        <w:rPr>
          <w:rFonts w:ascii="Times New Roman" w:hAnsi="Times New Roman" w:cs="Times New Roman"/>
          <w:sz w:val="24"/>
          <w:szCs w:val="24"/>
        </w:rPr>
        <w:t>Routledge Handbook on the Kurds</w:t>
      </w:r>
      <w:r w:rsidR="00204E2E">
        <w:rPr>
          <w:rFonts w:ascii="Times New Roman" w:hAnsi="Times New Roman" w:cs="Times New Roman"/>
          <w:sz w:val="24"/>
          <w:szCs w:val="24"/>
        </w:rPr>
        <w:t xml:space="preserve">» </w:t>
      </w:r>
      <w:r w:rsidR="00204E2E" w:rsidRPr="00CB2530">
        <w:rPr>
          <w:rFonts w:ascii="Times New Roman" w:hAnsi="Times New Roman" w:cs="Times New Roman"/>
          <w:sz w:val="24"/>
          <w:szCs w:val="24"/>
        </w:rPr>
        <w:t>[</w:t>
      </w:r>
      <w:r w:rsidR="00204E2E" w:rsidRPr="00204E2E">
        <w:rPr>
          <w:rFonts w:ascii="Times New Roman" w:hAnsi="Times New Roman" w:cs="Times New Roman"/>
          <w:sz w:val="24"/>
          <w:szCs w:val="24"/>
        </w:rPr>
        <w:t>5</w:t>
      </w:r>
      <w:r w:rsidR="00204E2E" w:rsidRPr="00CB2530">
        <w:rPr>
          <w:rFonts w:ascii="Times New Roman" w:hAnsi="Times New Roman" w:cs="Times New Roman"/>
          <w:sz w:val="24"/>
          <w:szCs w:val="24"/>
        </w:rPr>
        <w:t>]</w:t>
      </w:r>
      <w:r w:rsidR="00204E2E">
        <w:rPr>
          <w:rFonts w:ascii="Times New Roman" w:hAnsi="Times New Roman" w:cs="Times New Roman"/>
          <w:sz w:val="24"/>
          <w:szCs w:val="24"/>
        </w:rPr>
        <w:t xml:space="preserve"> </w:t>
      </w:r>
      <w:r w:rsidRPr="00CB2530">
        <w:rPr>
          <w:rFonts w:ascii="Times New Roman" w:hAnsi="Times New Roman" w:cs="Times New Roman"/>
          <w:sz w:val="24"/>
          <w:szCs w:val="24"/>
        </w:rPr>
        <w:t>и др</w:t>
      </w:r>
      <w:r w:rsidR="00931750" w:rsidRPr="00CB2530">
        <w:rPr>
          <w:rFonts w:ascii="Times New Roman" w:hAnsi="Times New Roman" w:cs="Times New Roman"/>
          <w:sz w:val="24"/>
          <w:szCs w:val="24"/>
        </w:rPr>
        <w:t xml:space="preserve">. </w:t>
      </w:r>
      <w:r w:rsidR="007325B4" w:rsidRPr="00CB2530">
        <w:rPr>
          <w:rFonts w:ascii="Times New Roman" w:hAnsi="Times New Roman" w:cs="Times New Roman"/>
          <w:sz w:val="24"/>
          <w:szCs w:val="24"/>
        </w:rPr>
        <w:t xml:space="preserve">Для изучения пропаганды в наиболее ранний период ее развития за основу исследования </w:t>
      </w:r>
      <w:r w:rsidR="00931750" w:rsidRPr="00CB2530">
        <w:rPr>
          <w:rFonts w:ascii="Times New Roman" w:hAnsi="Times New Roman" w:cs="Times New Roman"/>
          <w:sz w:val="24"/>
          <w:szCs w:val="24"/>
        </w:rPr>
        <w:t xml:space="preserve">были взяты </w:t>
      </w:r>
      <w:r w:rsidR="007325B4" w:rsidRPr="00CB2530">
        <w:rPr>
          <w:rFonts w:ascii="Times New Roman" w:hAnsi="Times New Roman" w:cs="Times New Roman"/>
          <w:sz w:val="24"/>
          <w:szCs w:val="24"/>
        </w:rPr>
        <w:t>такие источники, как</w:t>
      </w:r>
      <w:r w:rsidR="00931750" w:rsidRPr="00CB2530">
        <w:rPr>
          <w:rFonts w:ascii="Times New Roman" w:hAnsi="Times New Roman" w:cs="Times New Roman"/>
          <w:sz w:val="24"/>
          <w:szCs w:val="24"/>
        </w:rPr>
        <w:t xml:space="preserve"> м</w:t>
      </w:r>
      <w:r w:rsidR="007325B4" w:rsidRPr="00CB2530">
        <w:rPr>
          <w:rFonts w:ascii="Times New Roman" w:hAnsi="Times New Roman" w:cs="Times New Roman"/>
          <w:sz w:val="24"/>
          <w:szCs w:val="24"/>
        </w:rPr>
        <w:t>атериалы прессы турецкого (</w:t>
      </w:r>
      <w:r w:rsidR="007325B4" w:rsidRPr="00CB2530">
        <w:rPr>
          <w:rFonts w:ascii="Times New Roman" w:hAnsi="Times New Roman" w:cs="Times New Roman"/>
          <w:sz w:val="24"/>
          <w:szCs w:val="24"/>
          <w:lang w:val="en-US"/>
        </w:rPr>
        <w:t>Ak</w:t>
      </w:r>
      <w:r w:rsidR="007325B4" w:rsidRPr="00CB2530">
        <w:rPr>
          <w:rFonts w:ascii="Times New Roman" w:hAnsi="Times New Roman" w:cs="Times New Roman"/>
          <w:sz w:val="24"/>
          <w:szCs w:val="24"/>
        </w:rPr>
        <w:t>ş</w:t>
      </w:r>
      <w:r w:rsidR="007325B4" w:rsidRPr="00CB2530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="007325B4"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325B4" w:rsidRPr="00CB2530">
        <w:rPr>
          <w:rFonts w:ascii="Times New Roman" w:hAnsi="Times New Roman" w:cs="Times New Roman"/>
          <w:sz w:val="24"/>
          <w:szCs w:val="24"/>
          <w:lang w:val="en-US"/>
        </w:rPr>
        <w:t>Istanbul</w:t>
      </w:r>
      <w:r w:rsidR="00931750" w:rsidRPr="00CB2530">
        <w:rPr>
          <w:rFonts w:ascii="Times New Roman" w:hAnsi="Times New Roman" w:cs="Times New Roman"/>
          <w:sz w:val="24"/>
          <w:szCs w:val="24"/>
        </w:rPr>
        <w:t xml:space="preserve"> и многие др.</w:t>
      </w:r>
      <w:r w:rsidR="007325B4" w:rsidRPr="00CB2530">
        <w:rPr>
          <w:rFonts w:ascii="Times New Roman" w:hAnsi="Times New Roman" w:cs="Times New Roman"/>
          <w:sz w:val="24"/>
          <w:szCs w:val="24"/>
        </w:rPr>
        <w:t xml:space="preserve">); курдского </w:t>
      </w:r>
      <w:r w:rsidR="00931750" w:rsidRPr="00CB2530">
        <w:rPr>
          <w:rFonts w:ascii="Times New Roman" w:hAnsi="Times New Roman" w:cs="Times New Roman"/>
          <w:sz w:val="24"/>
          <w:szCs w:val="24"/>
        </w:rPr>
        <w:t xml:space="preserve">(İstikbal, </w:t>
      </w:r>
      <w:r w:rsidR="00931750" w:rsidRPr="00CB2530">
        <w:rPr>
          <w:rFonts w:ascii="Times New Roman" w:hAnsi="Times New Roman" w:cs="Times New Roman"/>
          <w:sz w:val="24"/>
          <w:szCs w:val="24"/>
          <w:lang w:val="en-US"/>
        </w:rPr>
        <w:t>Tanin</w:t>
      </w:r>
      <w:r w:rsidR="00931750" w:rsidRPr="00CB2530">
        <w:rPr>
          <w:rFonts w:ascii="Times New Roman" w:hAnsi="Times New Roman" w:cs="Times New Roman"/>
          <w:sz w:val="24"/>
          <w:szCs w:val="24"/>
        </w:rPr>
        <w:t xml:space="preserve"> и многие др.</w:t>
      </w:r>
      <w:r w:rsidR="007325B4" w:rsidRPr="00CB2530">
        <w:rPr>
          <w:rFonts w:ascii="Times New Roman" w:hAnsi="Times New Roman" w:cs="Times New Roman"/>
          <w:sz w:val="24"/>
          <w:szCs w:val="24"/>
        </w:rPr>
        <w:t>)</w:t>
      </w:r>
      <w:r w:rsidRPr="00CB2530">
        <w:rPr>
          <w:rFonts w:ascii="Times New Roman" w:hAnsi="Times New Roman" w:cs="Times New Roman"/>
          <w:sz w:val="24"/>
          <w:szCs w:val="24"/>
        </w:rPr>
        <w:t xml:space="preserve"> и иностранного происхождения (например, </w:t>
      </w:r>
      <w:r w:rsidR="007325B4" w:rsidRPr="00CB2530">
        <w:rPr>
          <w:rFonts w:ascii="Times New Roman" w:hAnsi="Times New Roman" w:cs="Times New Roman"/>
          <w:sz w:val="24"/>
          <w:szCs w:val="24"/>
        </w:rPr>
        <w:t>советск</w:t>
      </w:r>
      <w:r w:rsidRPr="00CB2530">
        <w:rPr>
          <w:rFonts w:ascii="Times New Roman" w:hAnsi="Times New Roman" w:cs="Times New Roman"/>
          <w:sz w:val="24"/>
          <w:szCs w:val="24"/>
        </w:rPr>
        <w:t>ой газеты</w:t>
      </w:r>
      <w:r w:rsidR="007325B4" w:rsidRPr="00CB2530">
        <w:rPr>
          <w:rFonts w:ascii="Times New Roman" w:hAnsi="Times New Roman" w:cs="Times New Roman"/>
          <w:sz w:val="24"/>
          <w:szCs w:val="24"/>
        </w:rPr>
        <w:t xml:space="preserve"> </w:t>
      </w:r>
      <w:r w:rsidRPr="00CB2530">
        <w:rPr>
          <w:rFonts w:ascii="Times New Roman" w:hAnsi="Times New Roman" w:cs="Times New Roman"/>
          <w:sz w:val="24"/>
          <w:szCs w:val="24"/>
        </w:rPr>
        <w:t>«</w:t>
      </w:r>
      <w:r w:rsidR="007325B4" w:rsidRPr="00CB2530">
        <w:rPr>
          <w:rFonts w:ascii="Times New Roman" w:hAnsi="Times New Roman" w:cs="Times New Roman"/>
          <w:sz w:val="24"/>
          <w:szCs w:val="24"/>
        </w:rPr>
        <w:t>Заря Востока</w:t>
      </w:r>
      <w:r w:rsidRPr="00CB2530">
        <w:rPr>
          <w:rFonts w:ascii="Times New Roman" w:hAnsi="Times New Roman" w:cs="Times New Roman"/>
          <w:sz w:val="24"/>
          <w:szCs w:val="24"/>
        </w:rPr>
        <w:t>»</w:t>
      </w:r>
      <w:r w:rsidR="007325B4" w:rsidRPr="00CB2530">
        <w:rPr>
          <w:rFonts w:ascii="Times New Roman" w:hAnsi="Times New Roman" w:cs="Times New Roman"/>
          <w:sz w:val="24"/>
          <w:szCs w:val="24"/>
        </w:rPr>
        <w:t xml:space="preserve"> </w:t>
      </w:r>
      <w:r w:rsidRPr="00CB2530">
        <w:rPr>
          <w:rFonts w:ascii="Times New Roman" w:hAnsi="Times New Roman" w:cs="Times New Roman"/>
          <w:sz w:val="24"/>
          <w:szCs w:val="24"/>
        </w:rPr>
        <w:t xml:space="preserve">или английской газеты </w:t>
      </w:r>
      <w:r w:rsidRPr="00CB2530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7325B4" w:rsidRPr="00CB253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325B4" w:rsidRPr="00CB2530">
        <w:rPr>
          <w:rFonts w:ascii="Times New Roman" w:hAnsi="Times New Roman" w:cs="Times New Roman"/>
          <w:sz w:val="24"/>
          <w:szCs w:val="24"/>
        </w:rPr>
        <w:t xml:space="preserve"> </w:t>
      </w:r>
      <w:r w:rsidR="007325B4" w:rsidRPr="00CB2530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CB2530">
        <w:rPr>
          <w:rFonts w:ascii="Times New Roman" w:hAnsi="Times New Roman" w:cs="Times New Roman"/>
          <w:sz w:val="24"/>
          <w:szCs w:val="24"/>
        </w:rPr>
        <w:t>»</w:t>
      </w:r>
      <w:r w:rsidR="00204E2E">
        <w:rPr>
          <w:rFonts w:ascii="Times New Roman" w:hAnsi="Times New Roman" w:cs="Times New Roman"/>
          <w:sz w:val="24"/>
          <w:szCs w:val="24"/>
        </w:rPr>
        <w:t xml:space="preserve"> и многих др.</w:t>
      </w:r>
      <w:r w:rsidRPr="00CB253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748F43C" w14:textId="7DD8AE0F" w:rsidR="007325B4" w:rsidRPr="00CB2530" w:rsidRDefault="007325B4" w:rsidP="002176CF">
      <w:pPr>
        <w:pStyle w:val="Standard"/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2530">
        <w:rPr>
          <w:rFonts w:ascii="Times New Roman" w:hAnsi="Times New Roman" w:cs="Times New Roman"/>
          <w:sz w:val="24"/>
          <w:szCs w:val="24"/>
        </w:rPr>
        <w:t xml:space="preserve">Методологическая база исследования основывается на общенаучных (анализ, синтез, системный подход, индукция, дедукция, метод аналогий) 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>и частнонаучных (сравнительно-исторический, проблемно-хронологический, ретроспективный, историко-типологический, метод синхронизации) методах исследования.</w:t>
      </w:r>
    </w:p>
    <w:p w14:paraId="2659620D" w14:textId="50A25944" w:rsidR="0041285B" w:rsidRPr="00CB2530" w:rsidRDefault="007325B4" w:rsidP="002176CF">
      <w:pPr>
        <w:spacing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2530">
        <w:rPr>
          <w:rFonts w:ascii="Times New Roman" w:hAnsi="Times New Roman" w:cs="Times New Roman"/>
          <w:color w:val="000000"/>
          <w:sz w:val="24"/>
          <w:szCs w:val="24"/>
        </w:rPr>
        <w:t xml:space="preserve">Научная 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>новизна исследования</w:t>
      </w:r>
      <w:r w:rsidR="00BE19BE"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заключается в том, что автором работы впервые была предложена актуальная периодизация эволюции развития пропаганды относительно курдского вопроса </w:t>
      </w:r>
      <w:r w:rsidR="00B053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Турции 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изучены ее особенности с учетом влияния </w:t>
      </w:r>
      <w:r w:rsidR="00D9721F"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внешнеполитических обстановки, а также роли 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>различных акторов</w:t>
      </w:r>
      <w:r w:rsidR="00B053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пропаганды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их </w:t>
      </w:r>
      <w:r w:rsidR="00B053DE">
        <w:rPr>
          <w:rFonts w:ascii="Times New Roman" w:hAnsi="Times New Roman" w:cs="Times New Roman"/>
          <w:color w:val="000000" w:themeColor="text1"/>
          <w:sz w:val="24"/>
          <w:szCs w:val="24"/>
        </w:rPr>
        <w:t>внутри- и внешнеполитического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взаимодействи</w:t>
      </w:r>
      <w:r w:rsidRPr="00B053DE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B053DE" w:rsidRPr="00B053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38132D" w14:textId="77777777" w:rsidR="0041285B" w:rsidRPr="00CB2530" w:rsidRDefault="0041285B" w:rsidP="002176CF">
      <w:pPr>
        <w:pStyle w:val="a7"/>
        <w:spacing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45F649" w14:textId="5C3414A4" w:rsidR="00071E6E" w:rsidRPr="00CB2530" w:rsidRDefault="0041285B" w:rsidP="002176CF">
      <w:pPr>
        <w:suppressAutoHyphens/>
        <w:autoSpaceDN w:val="0"/>
        <w:spacing w:line="240" w:lineRule="auto"/>
        <w:ind w:firstLine="39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ходе исследования была прослежена</w:t>
      </w:r>
      <w:r w:rsidR="00071E6E"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динамик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71E6E"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использования пропагандистских нарративов, подходов и методов, на разных этапах </w:t>
      </w:r>
      <w:r w:rsidR="00B053DE">
        <w:rPr>
          <w:rFonts w:ascii="Times New Roman" w:hAnsi="Times New Roman" w:cs="Times New Roman"/>
          <w:color w:val="000000" w:themeColor="text1"/>
          <w:sz w:val="24"/>
          <w:szCs w:val="24"/>
        </w:rPr>
        <w:t>применявшихся</w:t>
      </w:r>
      <w:r w:rsidR="00071E6E"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достижения политических целей в отношении курдского вопроса с XIX по начало XXI вв.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уделено </w:t>
      </w:r>
      <w:r w:rsidR="00071E6E"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>особое внимание истории развития пропаганды относительно курдского вопроса в Турции, осуществлявшейся со стороны внутр</w:t>
      </w:r>
      <w:r w:rsidR="00B053DE">
        <w:rPr>
          <w:rFonts w:ascii="Times New Roman" w:hAnsi="Times New Roman" w:cs="Times New Roman"/>
          <w:color w:val="000000" w:themeColor="text1"/>
          <w:sz w:val="24"/>
          <w:szCs w:val="24"/>
        </w:rPr>
        <w:t>и-</w:t>
      </w:r>
      <w:r w:rsidR="00071E6E"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внешнеполитических акторов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B053DE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определено</w:t>
      </w:r>
      <w:r w:rsidR="00071E6E"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влияние внешне- и внутриполитических (включая социальные и экономические) факторов на эволюцию пропаганды относительно курдского вопроса в Турции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обозначены</w:t>
      </w:r>
      <w:r w:rsidR="00071E6E"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особенности интеракции между различными акторами международных отношений, применявших пропаганду для достижения политических целей, связанных с курдским вопросом в Турции.</w:t>
      </w:r>
    </w:p>
    <w:p w14:paraId="7CB5A71C" w14:textId="58281D92" w:rsidR="0041285B" w:rsidRPr="00CB2530" w:rsidRDefault="00CB2530" w:rsidP="002176CF">
      <w:pPr>
        <w:suppressAutoHyphens/>
        <w:autoSpaceDN w:val="0"/>
        <w:spacing w:line="240" w:lineRule="auto"/>
        <w:ind w:firstLine="39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качестве основных выводов исследования можно выделить следующие</w:t>
      </w:r>
      <w:r w:rsidR="0041285B"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FB77F8D" w14:textId="476B7BDD" w:rsidR="00D9721F" w:rsidRPr="00CB2530" w:rsidRDefault="00D9721F" w:rsidP="002176CF">
      <w:pPr>
        <w:suppressAutoHyphens/>
        <w:autoSpaceDN w:val="0"/>
        <w:spacing w:line="240" w:lineRule="auto"/>
        <w:ind w:firstLine="39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эволюция пропаганды вокруг курдского вопроса находится в тесной взаимосвязи с развитием курдской проблемы вообще и соответствует таким ее этапам, как локальный период </w:t>
      </w:r>
      <w:r w:rsidRPr="00CB2530">
        <w:rPr>
          <w:rFonts w:ascii="Times New Roman" w:hAnsi="Times New Roman" w:cs="Times New Roman"/>
          <w:sz w:val="24"/>
          <w:szCs w:val="24"/>
        </w:rPr>
        <w:t xml:space="preserve">(XVI – конец XIX вв.); интернационализация проблемы 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(начало XIX в. - 1991 гг.) и, наконец, трансформация курдского вопроса на современном этапе, характеризующаяся </w:t>
      </w:r>
      <w:r w:rsidRPr="00CB2530">
        <w:rPr>
          <w:rFonts w:ascii="Times New Roman" w:hAnsi="Times New Roman" w:cs="Times New Roman"/>
          <w:sz w:val="24"/>
          <w:szCs w:val="24"/>
        </w:rPr>
        <w:t>решением курдского вопроса на уровне развития образования и культуры, а также укреплени</w:t>
      </w:r>
      <w:r w:rsidR="00F561A9" w:rsidRPr="00CB2530">
        <w:rPr>
          <w:rFonts w:ascii="Times New Roman" w:hAnsi="Times New Roman" w:cs="Times New Roman"/>
          <w:sz w:val="24"/>
          <w:szCs w:val="24"/>
        </w:rPr>
        <w:t>ем</w:t>
      </w:r>
      <w:r w:rsidRPr="00CB2530">
        <w:rPr>
          <w:rFonts w:ascii="Times New Roman" w:hAnsi="Times New Roman" w:cs="Times New Roman"/>
          <w:sz w:val="24"/>
          <w:szCs w:val="24"/>
        </w:rPr>
        <w:t xml:space="preserve"> </w:t>
      </w:r>
      <w:r w:rsidR="00545E93">
        <w:rPr>
          <w:rFonts w:ascii="Times New Roman" w:hAnsi="Times New Roman" w:cs="Times New Roman"/>
          <w:sz w:val="24"/>
          <w:szCs w:val="24"/>
        </w:rPr>
        <w:t xml:space="preserve">позиций </w:t>
      </w:r>
      <w:r w:rsidRPr="00CB2530">
        <w:rPr>
          <w:rFonts w:ascii="Times New Roman" w:hAnsi="Times New Roman" w:cs="Times New Roman"/>
          <w:sz w:val="24"/>
          <w:szCs w:val="24"/>
        </w:rPr>
        <w:t>курдских политических акторов</w:t>
      </w:r>
      <w:r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(1991 г. – н.в.);</w:t>
      </w:r>
    </w:p>
    <w:p w14:paraId="1F34AEE2" w14:textId="77777777" w:rsidR="00CB2530" w:rsidRPr="00CB2530" w:rsidRDefault="00D9721F" w:rsidP="00CB2530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53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1285B" w:rsidRPr="00CB253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561A9" w:rsidRPr="00CB25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61A9"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пропаганды вокруг курдского вопроса в Турции можно охарактеризовать как хаотичное и волнообразное, поскольку внутри- и внешнеполитические события и процессы (в особенности развитие курдской проблемы в 3 странах компактного проживания курдов) оказывали большое влияние на такие параметры пропаганды, как эффективность, широта и ее содержание;</w:t>
      </w:r>
    </w:p>
    <w:p w14:paraId="3DB714DE" w14:textId="561FBFA1" w:rsidR="001349A7" w:rsidRPr="00204E2E" w:rsidRDefault="00CB2530" w:rsidP="00CB2530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F561A9" w:rsidRPr="00CB2530">
        <w:rPr>
          <w:rFonts w:ascii="Times New Roman" w:hAnsi="Times New Roman" w:cs="Times New Roman"/>
          <w:sz w:val="24"/>
          <w:szCs w:val="24"/>
        </w:rPr>
        <w:t xml:space="preserve">волюция пропаганды может быть разделена «на некие звенья эволюции», развивавшиеся параллельно друг другу, поскольку внутри- и внешнеполитические акторы, обладая собственными интересами, имели </w:t>
      </w:r>
      <w:r w:rsidRPr="00CB2530">
        <w:rPr>
          <w:rFonts w:ascii="Times New Roman" w:hAnsi="Times New Roman" w:cs="Times New Roman"/>
          <w:sz w:val="24"/>
          <w:szCs w:val="24"/>
        </w:rPr>
        <w:t>различные</w:t>
      </w:r>
      <w:r w:rsidR="00F561A9" w:rsidRPr="00CB2530">
        <w:rPr>
          <w:rFonts w:ascii="Times New Roman" w:hAnsi="Times New Roman" w:cs="Times New Roman"/>
          <w:sz w:val="24"/>
          <w:szCs w:val="24"/>
        </w:rPr>
        <w:t xml:space="preserve"> цели и </w:t>
      </w:r>
      <w:r w:rsidR="00545E93">
        <w:rPr>
          <w:rFonts w:ascii="Times New Roman" w:hAnsi="Times New Roman" w:cs="Times New Roman"/>
          <w:sz w:val="24"/>
          <w:szCs w:val="24"/>
        </w:rPr>
        <w:t xml:space="preserve">связанные с ними </w:t>
      </w:r>
      <w:r w:rsidR="00F561A9" w:rsidRPr="00CB2530">
        <w:rPr>
          <w:rFonts w:ascii="Times New Roman" w:hAnsi="Times New Roman" w:cs="Times New Roman"/>
          <w:sz w:val="24"/>
          <w:szCs w:val="24"/>
        </w:rPr>
        <w:t xml:space="preserve">нарративы (так, можно выделить турецкую пропаганду в Турции; </w:t>
      </w:r>
      <w:r w:rsidR="00F561A9"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протурецкую пропаганду, поддерживаемую курдами в Турции; курдскую пропаганду в Турции; прокурдскую пропаганду, поддерживаемую турками в Турции; </w:t>
      </w:r>
      <w:r w:rsidR="00545E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и, наконец, </w:t>
      </w:r>
      <w:r w:rsidR="00F561A9"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>пропаганду вокруг курдского вопроса в Турции со стороны наиболее активных внешнеполитических акторов, взаимодействующих как с турками</w:t>
      </w:r>
      <w:r w:rsidR="00B053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F561A9" w:rsidRPr="00CB2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курдами, проживающими в Турции и за ее пределами, </w:t>
      </w:r>
      <w:r w:rsidR="00F561A9" w:rsidRPr="00204E2E">
        <w:rPr>
          <w:rFonts w:ascii="Times New Roman" w:hAnsi="Times New Roman" w:cs="Times New Roman"/>
          <w:color w:val="000000" w:themeColor="text1"/>
          <w:sz w:val="24"/>
          <w:szCs w:val="24"/>
        </w:rPr>
        <w:t>так и с другими государствами).</w:t>
      </w:r>
    </w:p>
    <w:p w14:paraId="0950F56A" w14:textId="0AA7478E" w:rsidR="00CB2530" w:rsidRPr="00204E2E" w:rsidRDefault="00CB2530" w:rsidP="00CB2530">
      <w:pPr>
        <w:spacing w:line="240" w:lineRule="auto"/>
        <w:ind w:firstLine="39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04E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Список литературы и источников:</w:t>
      </w:r>
    </w:p>
    <w:p w14:paraId="7FE5B8B9" w14:textId="2E6F550F" w:rsidR="00CB2530" w:rsidRPr="00204E2E" w:rsidRDefault="00CB2530" w:rsidP="00CB2530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E2E">
        <w:rPr>
          <w:rFonts w:ascii="Times New Roman" w:hAnsi="Times New Roman" w:cs="Times New Roman"/>
          <w:color w:val="000000" w:themeColor="text1"/>
          <w:sz w:val="24"/>
          <w:szCs w:val="24"/>
        </w:rPr>
        <w:t>Аверьянов П. Курды в войнах России с Персией и Турцией в течение XIX столетия. Современное политическое положение турецких, персидских и русских курдов. Исторический очерк. Тифлис: типография штаба кавказского военного округа, 1900. 515 с.</w:t>
      </w:r>
    </w:p>
    <w:p w14:paraId="598D4CE9" w14:textId="64FE0584" w:rsidR="00CB2530" w:rsidRPr="00204E2E" w:rsidRDefault="00CB2530" w:rsidP="00CB2530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E2E">
        <w:rPr>
          <w:rFonts w:ascii="Times New Roman" w:hAnsi="Times New Roman" w:cs="Times New Roman"/>
          <w:color w:val="000000" w:themeColor="text1"/>
          <w:sz w:val="24"/>
          <w:szCs w:val="24"/>
        </w:rPr>
        <w:t>Гасратян М.А. Курды в Турции в Новейшее время. Ереван: Айастан, 1990. 385 с.</w:t>
      </w:r>
    </w:p>
    <w:p w14:paraId="2F6E4213" w14:textId="69B48C4A" w:rsidR="00204E2E" w:rsidRPr="00204E2E" w:rsidRDefault="00204E2E" w:rsidP="00204E2E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E2E">
        <w:rPr>
          <w:rFonts w:ascii="Times New Roman" w:hAnsi="Times New Roman" w:cs="Times New Roman"/>
          <w:color w:val="000000" w:themeColor="text1"/>
          <w:sz w:val="24"/>
          <w:szCs w:val="24"/>
        </w:rPr>
        <w:t>Никитин В. Курды</w:t>
      </w:r>
      <w:r w:rsidRPr="00204E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04E2E">
        <w:rPr>
          <w:rFonts w:ascii="Times New Roman" w:hAnsi="Times New Roman" w:cs="Times New Roman"/>
          <w:color w:val="000000" w:themeColor="text1"/>
          <w:sz w:val="24"/>
          <w:szCs w:val="24"/>
        </w:rPr>
        <w:t>Перевод с французского И.О. Фаризова. М.: Прогресс, 1964.</w:t>
      </w:r>
    </w:p>
    <w:p w14:paraId="1F587F05" w14:textId="56C3F8E3" w:rsidR="00CB2530" w:rsidRPr="00204E2E" w:rsidRDefault="00CB2530" w:rsidP="00CB2530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4E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Bruinessen, M. V. Agha, Shaikh and State: On the Social and Political Organization of Kurdistan. 1978. 473 p.</w:t>
      </w:r>
    </w:p>
    <w:p w14:paraId="7B993C0F" w14:textId="676F2E8C" w:rsidR="00B053DE" w:rsidRPr="00204E2E" w:rsidRDefault="00204E2E" w:rsidP="00CB2530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4E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Gunter</w:t>
      </w:r>
      <w:r w:rsidRPr="00204E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M. M. </w:t>
      </w:r>
      <w:r w:rsidR="00B053DE" w:rsidRPr="00204E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Routledge Handbook on the Kurds</w:t>
      </w:r>
      <w:r w:rsidRPr="00204E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B053DE" w:rsidRPr="00204E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Routledge, 2018. 497 p.</w:t>
      </w:r>
    </w:p>
    <w:sectPr w:rsidR="00B053DE" w:rsidRPr="00204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0013" w14:textId="77777777" w:rsidR="00A61E6C" w:rsidRDefault="00A61E6C" w:rsidP="007325B4">
      <w:pPr>
        <w:spacing w:after="0" w:line="240" w:lineRule="auto"/>
      </w:pPr>
      <w:r>
        <w:separator/>
      </w:r>
    </w:p>
  </w:endnote>
  <w:endnote w:type="continuationSeparator" w:id="0">
    <w:p w14:paraId="6BE4B798" w14:textId="77777777" w:rsidR="00A61E6C" w:rsidRDefault="00A61E6C" w:rsidP="00732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8FB64" w14:textId="77777777" w:rsidR="00A61E6C" w:rsidRDefault="00A61E6C" w:rsidP="007325B4">
      <w:pPr>
        <w:spacing w:after="0" w:line="240" w:lineRule="auto"/>
      </w:pPr>
      <w:r>
        <w:separator/>
      </w:r>
    </w:p>
  </w:footnote>
  <w:footnote w:type="continuationSeparator" w:id="0">
    <w:p w14:paraId="46B5729D" w14:textId="77777777" w:rsidR="00A61E6C" w:rsidRDefault="00A61E6C" w:rsidP="00732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E58"/>
    <w:multiLevelType w:val="hybridMultilevel"/>
    <w:tmpl w:val="528C3984"/>
    <w:lvl w:ilvl="0" w:tplc="DB587210">
      <w:start w:val="1"/>
      <w:numFmt w:val="decimal"/>
      <w:lvlText w:val="%1."/>
      <w:lvlJc w:val="left"/>
      <w:pPr>
        <w:ind w:left="757" w:hanging="360"/>
      </w:pPr>
      <w:rPr>
        <w:rFonts w:asciiTheme="minorHAnsi" w:hAnsiTheme="minorHAnsi"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3734CB6"/>
    <w:multiLevelType w:val="multilevel"/>
    <w:tmpl w:val="3C8C3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816A3C"/>
    <w:multiLevelType w:val="hybridMultilevel"/>
    <w:tmpl w:val="483CAB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C6450"/>
    <w:multiLevelType w:val="hybridMultilevel"/>
    <w:tmpl w:val="774E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81F22"/>
    <w:multiLevelType w:val="hybridMultilevel"/>
    <w:tmpl w:val="C93A3CBC"/>
    <w:lvl w:ilvl="0" w:tplc="3FE0FE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0594A"/>
    <w:multiLevelType w:val="multilevel"/>
    <w:tmpl w:val="62C0DEA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78FB059F"/>
    <w:multiLevelType w:val="hybridMultilevel"/>
    <w:tmpl w:val="53ECD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92956">
    <w:abstractNumId w:val="1"/>
  </w:num>
  <w:num w:numId="2" w16cid:durableId="288517681">
    <w:abstractNumId w:val="6"/>
  </w:num>
  <w:num w:numId="3" w16cid:durableId="1489205693">
    <w:abstractNumId w:val="2"/>
  </w:num>
  <w:num w:numId="4" w16cid:durableId="955481397">
    <w:abstractNumId w:val="4"/>
  </w:num>
  <w:num w:numId="5" w16cid:durableId="1865898287">
    <w:abstractNumId w:val="3"/>
  </w:num>
  <w:num w:numId="6" w16cid:durableId="2086299918">
    <w:abstractNumId w:val="5"/>
  </w:num>
  <w:num w:numId="7" w16cid:durableId="123157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9B"/>
    <w:rsid w:val="00071E6E"/>
    <w:rsid w:val="000E4495"/>
    <w:rsid w:val="001349A7"/>
    <w:rsid w:val="00204E2E"/>
    <w:rsid w:val="00216D3F"/>
    <w:rsid w:val="002176CF"/>
    <w:rsid w:val="002244F6"/>
    <w:rsid w:val="002C3935"/>
    <w:rsid w:val="003A008E"/>
    <w:rsid w:val="003B3E3C"/>
    <w:rsid w:val="0041285B"/>
    <w:rsid w:val="00456E36"/>
    <w:rsid w:val="00545E93"/>
    <w:rsid w:val="00556E00"/>
    <w:rsid w:val="00686901"/>
    <w:rsid w:val="00690E61"/>
    <w:rsid w:val="007325B4"/>
    <w:rsid w:val="007B1073"/>
    <w:rsid w:val="0085308D"/>
    <w:rsid w:val="00931750"/>
    <w:rsid w:val="009E2582"/>
    <w:rsid w:val="00A61E6C"/>
    <w:rsid w:val="00B053DE"/>
    <w:rsid w:val="00B2583E"/>
    <w:rsid w:val="00B858CA"/>
    <w:rsid w:val="00BE19BE"/>
    <w:rsid w:val="00CB2530"/>
    <w:rsid w:val="00D3199B"/>
    <w:rsid w:val="00D9721F"/>
    <w:rsid w:val="00EC021A"/>
    <w:rsid w:val="00F561A9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B3D2"/>
  <w15:chartTrackingRefBased/>
  <w15:docId w15:val="{4AA42CD7-92C3-48E2-812B-ABE8F18A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1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9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9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1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19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19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19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19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19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19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19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1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1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1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1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199B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D319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19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1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19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199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349A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349A7"/>
    <w:rPr>
      <w:color w:val="605E5C"/>
      <w:shd w:val="clear" w:color="auto" w:fill="E1DFDD"/>
    </w:rPr>
  </w:style>
  <w:style w:type="paragraph" w:customStyle="1" w:styleId="Standard">
    <w:name w:val="Standard"/>
    <w:rsid w:val="007325B4"/>
    <w:pPr>
      <w:suppressAutoHyphens/>
      <w:autoSpaceDN w:val="0"/>
      <w:textAlignment w:val="baseline"/>
    </w:pPr>
    <w:rPr>
      <w:rFonts w:ascii="Calibri" w:eastAsia="SimSun" w:hAnsi="Calibri" w:cs="Calibri"/>
      <w:kern w:val="3"/>
      <w14:ligatures w14:val="none"/>
    </w:rPr>
  </w:style>
  <w:style w:type="paragraph" w:styleId="ae">
    <w:name w:val="footnote text"/>
    <w:basedOn w:val="a"/>
    <w:link w:val="af"/>
    <w:uiPriority w:val="99"/>
    <w:semiHidden/>
    <w:unhideWhenUsed/>
    <w:rsid w:val="007325B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325B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325B4"/>
    <w:rPr>
      <w:vertAlign w:val="superscript"/>
    </w:rPr>
  </w:style>
  <w:style w:type="numbering" w:customStyle="1" w:styleId="WWNum4">
    <w:name w:val="WWNum4"/>
    <w:basedOn w:val="a2"/>
    <w:rsid w:val="00071E6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4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Азеровна Багирова</dc:creator>
  <cp:keywords/>
  <dc:description/>
  <cp:lastModifiedBy>Азеровна Багирова</cp:lastModifiedBy>
  <cp:revision>8</cp:revision>
  <dcterms:created xsi:type="dcterms:W3CDTF">2025-03-09T18:00:00Z</dcterms:created>
  <dcterms:modified xsi:type="dcterms:W3CDTF">2025-03-09T20:55:00Z</dcterms:modified>
</cp:coreProperties>
</file>