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Когнитивный анализ глагольной номинализации в китайском языке </w:t>
      </w:r>
    </w:p>
    <w:p>
      <w:pPr>
        <w:pStyle w:val="默认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на материале глаголов со значением «достигать»</w:t>
      </w:r>
      <w:r>
        <w:rPr>
          <w:rFonts w:ascii="Times New Roman" w:hAnsi="Times New Roman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默认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 Синьюй</w:t>
      </w:r>
    </w:p>
    <w:p>
      <w:pPr>
        <w:pStyle w:val="默认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аспирант</w:t>
      </w:r>
    </w:p>
    <w:p>
      <w:pPr>
        <w:pStyle w:val="默认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Московский государственный университет имени М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Ломоносова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默认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Высшая школа перевода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факультет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Москва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Россия</w:t>
      </w:r>
    </w:p>
    <w:p>
      <w:pPr>
        <w:pStyle w:val="默认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E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mail:</w:t>
      </w:r>
      <w:r>
        <w:rPr>
          <w:rFonts w:ascii="Times New Roman" w:hAnsi="Times New Roman"/>
          <w:i w:val="1"/>
          <w:iCs w:val="1"/>
          <w:u w:color="000000"/>
          <w:rtl w:val="0"/>
          <w:lang w:val="zh-TW" w:eastAsia="zh-TW"/>
          <w14:textOutline w14:w="12700" w14:cap="flat">
            <w14:noFill/>
            <w14:miter w14:lim="400000"/>
          </w14:textOutline>
        </w:rPr>
        <w:t>zzw7@yandex.ru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默认"/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Существительные часто образуются от других частей речи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чаще всего от глаголов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М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Панов утверждал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что имя существительное — «неотмеченная категория среди частей речи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открытая область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не имеющая грамматических запретов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мешающих прийти и обжиться в этой области любому слову» </w:t>
      </w:r>
      <w:r>
        <w:rPr>
          <w:rFonts w:ascii="Times New Roman" w:hAnsi="Times New Roman"/>
          <w:u w:color="000000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[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Панов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1999,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.165].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Р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Лэнекер в книге «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Foundations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of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Cognitive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grammar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Descriptive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Application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» написал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что номинализация не только широко распространена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но и теоретически значима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[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Langacker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1991,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22].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 точки зрения когнитивной грамматики номинализация предполагает концептуальное овеществление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характер которой может быть объяснён с помощью отсылки к понятийным определениям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предложенным для класса существительных и глаголов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Например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eastAsia="Arial Unicode MS" w:hint="eastAsia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达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(d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á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) -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достигать и </w:t>
      </w:r>
      <w:r>
        <w:rPr>
          <w:rFonts w:eastAsia="Arial Unicode MS" w:hint="eastAsia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达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(d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á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) -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достижение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,  </w:t>
      </w:r>
      <w:r>
        <w:rPr>
          <w:rFonts w:eastAsia="Arial Unicode MS" w:hint="eastAsia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达到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(d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á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d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à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o) -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достигать 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до место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и </w:t>
      </w:r>
      <w:r>
        <w:rPr>
          <w:rFonts w:eastAsia="Arial Unicode MS" w:hint="eastAsia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达到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(d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á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d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à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o) -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достичь цели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,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eastAsia="Arial Unicode MS" w:hint="eastAsia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追上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(</w:t>
      </w:r>
      <w:r>
        <w:rPr>
          <w:rFonts w:ascii="Times New Roman" w:hAnsi="Times New Roman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zhuishang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) -</w:t>
      </w:r>
      <w:r>
        <w:rPr>
          <w:rFonts w:ascii="Times New Roman" w:hAnsi="Times New Roman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достигать и </w:t>
      </w:r>
      <w:r>
        <w:rPr>
          <w:rFonts w:eastAsia="Arial Unicode MS" w:hint="eastAsia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追上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(</w:t>
      </w:r>
      <w:r>
        <w:rPr>
          <w:rFonts w:ascii="Times New Roman" w:hAnsi="Times New Roman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zhuishang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) -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достичь уровня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Семантические значения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приписываемые им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совместимы с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значениями в других употреблениях и напрямую участвуют в определении общего смысла всего именного выражения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.</w:t>
      </w:r>
    </w:p>
    <w:p>
      <w:pPr>
        <w:pStyle w:val="默认"/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 китайском языке глаголы часто состоят из одного или двух самостоятельных иероглифов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Значение глагола определяется расположением компонентов в составе слова</w:t>
      </w:r>
      <w:r>
        <w:rPr>
          <w:rFonts w:ascii="Times New Roman" w:hAnsi="Times New Roman"/>
          <w:u w:color="000000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 [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Тань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2002,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.147</w:t>
      </w:r>
      <w:r>
        <w:rPr>
          <w:rFonts w:ascii="Times New Roman" w:hAnsi="Times New Roman"/>
          <w:u w:color="000000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-152]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Способы образования глаголов в китайском языке включают соединение двух или более иероглифов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например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eastAsia="Arial Unicode MS" w:hint="eastAsia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达到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(d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á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d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à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o)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= </w:t>
      </w:r>
      <w:r>
        <w:rPr>
          <w:rFonts w:eastAsia="Arial Unicode MS" w:hint="eastAsia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达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(d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á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 -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достигать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+</w:t>
      </w:r>
      <w:r>
        <w:rPr>
          <w:rFonts w:eastAsia="Arial Unicode MS" w:hint="eastAsia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(d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à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o)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-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достичь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=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достигать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присоединение суффиксов к корням слова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например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eastAsia="Arial Unicode MS" w:hint="eastAsia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追上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(</w:t>
      </w:r>
      <w:r>
        <w:rPr>
          <w:rFonts w:ascii="Times New Roman" w:hAnsi="Times New Roman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zhuishang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 = </w:t>
      </w:r>
      <w:r>
        <w:rPr>
          <w:rFonts w:eastAsia="Arial Unicode MS" w:hint="eastAsia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追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zhui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 -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достигать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следовать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+ </w:t>
      </w:r>
      <w:r>
        <w:rPr>
          <w:rFonts w:eastAsia="Arial Unicode MS" w:hint="eastAsia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上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shd w:val="clear" w:color="auto" w:fill="ffffff"/>
          <w:rtl w:val="0"/>
          <w:lang w:val="nl-NL"/>
          <w14:textOutline w14:w="12700" w14:cap="flat">
            <w14:noFill/>
            <w14:miter w14:lim="400000"/>
          </w14:textOutline>
        </w:rPr>
        <w:t>(shang)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-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суффикс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默认"/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Система глагольной номинализации в китайском языке отличается большим семантическим и структурным разнообразием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Глагол </w:t>
      </w:r>
      <w:r>
        <w:rPr>
          <w:rFonts w:eastAsia="Arial Unicode MS" w:hint="eastAsia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达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(d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á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совмещает предельное значение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достигать и непредельное значение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передавать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решать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Глагол </w:t>
      </w:r>
      <w:r>
        <w:rPr>
          <w:rFonts w:eastAsia="Arial Unicode MS" w:hint="eastAsia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追</w:t>
      </w:r>
      <w:r>
        <w:rPr>
          <w:rFonts w:ascii="Times New Roman" w:hAnsi="Times New Roman"/>
          <w:u w:color="000000"/>
          <w:shd w:val="clear" w:color="auto" w:fill="ffffff"/>
          <w:rtl w:val="0"/>
          <w:lang w:val="nl-NL"/>
          <w14:textOutline w14:w="12700" w14:cap="flat">
            <w14:noFill/>
            <w14:miter w14:lim="400000"/>
          </w14:textOutline>
        </w:rPr>
        <w:t xml:space="preserve">(zhui)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обозначает нагонять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достигать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преследовать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искать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 значении этих глаголов имеет место соотносительное именное образование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соответственно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конструкции с ним могут трансформироваться в именные единицы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默认"/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 центре данного исследования находятся номинативные конструкции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которые на каком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то уровне своей структуры включают глагольный компонент со значением “достигать”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Мы рассматриваем альтернативное профилирование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Alternate Profiling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слов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eastAsia="Arial Unicode MS" w:hint="eastAsia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达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(d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á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)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eastAsia="Arial Unicode MS" w:hint="eastAsia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达到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(d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á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d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à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o)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и  </w:t>
      </w:r>
      <w:r>
        <w:rPr>
          <w:rFonts w:eastAsia="Arial Unicode MS" w:hint="eastAsia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追上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(</w:t>
      </w:r>
      <w:r>
        <w:rPr>
          <w:rFonts w:ascii="Times New Roman" w:hAnsi="Times New Roman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zhuishang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в китайском языке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.</w:t>
      </w:r>
    </w:p>
    <w:p>
      <w:pPr>
        <w:pStyle w:val="默认"/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Понятие альтернативное профилирование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Alternate Profiling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введено Р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Лангакером при когнитивной интерпретации типов номинализация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 xml:space="preserve"> </w:t>
      </w:r>
    </w:p>
    <w:tbl>
      <w:tblPr>
        <w:tblW w:w="107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0764"/>
      </w:tblGrid>
      <w:tr>
        <w:tblPrEx>
          <w:shd w:val="clear" w:color="auto" w:fill="cadfff"/>
        </w:tblPrEx>
        <w:trPr>
          <w:trHeight w:val="3654" w:hRule="atLeast"/>
        </w:trPr>
        <w:tc>
          <w:tcPr>
            <w:tcW w:type="dxa" w:w="107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默认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drawing xmlns:a="http://schemas.openxmlformats.org/drawingml/2006/main">
                <wp:inline distT="0" distB="0" distL="0" distR="0">
                  <wp:extent cx="2959019" cy="2274428"/>
                  <wp:effectExtent l="0" t="0" r="0" b="0"/>
                  <wp:docPr id="1073741825" name="officeArt object" descr="已粘贴的图像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已粘贴的图像.png" descr="已粘贴的图像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019" cy="227442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0764"/>
            <w:tcBorders>
              <w:top w:val="nil"/>
              <w:left w:val="nil"/>
              <w:bottom w:val="nil"/>
              <w:right w:val="nil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默认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282"/>
              </w:tabs>
              <w:bidi w:val="0"/>
              <w:spacing w:before="0"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Рис</w:t>
            </w:r>
            <w:r>
              <w:rPr>
                <w:rFonts w:ascii="Times New Roman" w:hAnsi="Times New Roman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.1</w:t>
            </w:r>
            <w:r>
              <w:rPr>
                <w:rFonts w:ascii="Times New Roman" w:hAnsi="Times New Roman"/>
                <w:u w:color="00000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Fonts w:ascii="Times New Roman" w:hAnsi="Times New Roman" w:hint="default"/>
                <w:u w:color="00000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Схемы </w:t>
            </w:r>
            <w:r>
              <w:rPr>
                <w:rFonts w:ascii="Times New Roman" w:hAnsi="Times New Roman" w:hint="default"/>
                <w:u w:color="000000"/>
                <w:shd w:val="clear" w:color="auto" w:fill="ffffff"/>
                <w:rtl w:val="0"/>
                <w14:textOutline w14:w="12700" w14:cap="flat">
                  <w14:noFill/>
                  <w14:miter w14:lim="400000"/>
                </w14:textOutline>
              </w:rPr>
              <w:t>номинализации</w:t>
            </w:r>
          </w:p>
        </w:tc>
      </w:tr>
    </w:tbl>
    <w:p>
      <w:pPr>
        <w:pStyle w:val="默认"/>
        <w:widowControl w:val="0"/>
        <w:bidi w:val="0"/>
        <w:spacing w:before="0" w:line="240" w:lineRule="auto"/>
        <w:ind w:left="108" w:right="0" w:hanging="108"/>
        <w:jc w:val="both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默认"/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На рисунке контейнер номинализатора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(nominalizer, </w:t>
      </w:r>
      <w:r>
        <w:rPr>
          <w:rFonts w:ascii="Times New Roman" w:hAnsi="Times New Roman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NR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который выделен жирными линиями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обозначает профиль номинализатора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он преобладает на уровне составной структуры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Таким образом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поскольку составная структура наследует значение глагола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(V),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но профилирование номинализатора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>NR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производное существительное профилирует ориентир процесса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обозначенного основой глагола </w:t>
      </w:r>
      <w:r>
        <w:rPr>
          <w:rFonts w:ascii="Times New Roman" w:hAnsi="Times New Roman"/>
          <w:u w:color="000000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[Langacker 1991,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 23-24</w:t>
      </w:r>
      <w:r>
        <w:rPr>
          <w:rFonts w:ascii="Times New Roman" w:hAnsi="Times New Roman"/>
          <w:u w:color="000000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]</w:t>
      </w:r>
    </w:p>
    <w:p>
      <w:pPr>
        <w:pStyle w:val="默认"/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 позиции когнитивного подхода номинализация изучается как языковое средство закрепления в когнитивной системе продукта переосмысления категориального значения глагола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Таким образом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когнитивный анализ глагольной номинализации в китайском языке  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на материале глаголов со значением “достигать”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представляет собой актуальное и многоаспектное направление исследований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имеющее как теоретическую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так и практическую значимость для современной лингвистики и смежных областей знания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默认"/>
        <w:bidi w:val="0"/>
        <w:spacing w:before="0" w:line="240" w:lineRule="auto"/>
        <w:ind w:left="0" w:right="0" w:firstLine="709"/>
        <w:jc w:val="center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默认"/>
        <w:bidi w:val="0"/>
        <w:spacing w:before="0" w:line="240" w:lineRule="auto"/>
        <w:ind w:left="0" w:right="0" w:firstLine="709"/>
        <w:jc w:val="center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итературы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默认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u w:color="000000"/>
          <w:rtl w:val="0"/>
          <w:lang w:val="pt-P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Langacker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R.W.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Foundations of Cognitive grammar. Descriptive Application. Stanford: Stanford University Press.1991.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589</w:t>
      </w:r>
      <w:r>
        <w:rPr>
          <w:rFonts w:ascii="Times New Roman" w:hAnsi="Times New Roman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p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默认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Панов 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Позиционная морфология русского языка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Наука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Школа «Языки русской культуры»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1999. - 275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默认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Тань Аошуан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Проблемы скрытой грамматики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Синтаксис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семантика и прагматика языка изолирующего строя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примере китайского языка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Языки славянской культуры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2002. 896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sectPr>
      <w:headerReference w:type="default" r:id="rId5"/>
      <w:footerReference w:type="default" r:id="rId6"/>
      <w:pgSz w:w="11906" w:h="16838" w:orient="portrait"/>
      <w:pgMar w:top="1134" w:right="1361" w:bottom="1134" w:left="136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PingFang SC S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编号"/>
  </w:abstractNum>
  <w:abstractNum w:abstractNumId="1">
    <w:multiLevelType w:val="hybridMultilevel"/>
    <w:styleLink w:val="编号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编号">
    <w:name w:val="编号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