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AEA4" w14:textId="5580A975" w:rsidR="001D0CB6" w:rsidRPr="00DB5515" w:rsidRDefault="00B22294" w:rsidP="00B222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Б</w:t>
      </w:r>
      <w:r w:rsidRPr="00B22294">
        <w:rPr>
          <w:b/>
          <w:color w:val="000000"/>
        </w:rPr>
        <w:t xml:space="preserve">иорезорбируемые материалы на основе </w:t>
      </w:r>
      <w:proofErr w:type="spellStart"/>
      <w:r w:rsidRPr="00B22294">
        <w:rPr>
          <w:b/>
          <w:color w:val="000000"/>
        </w:rPr>
        <w:t>бифазной</w:t>
      </w:r>
      <w:proofErr w:type="spellEnd"/>
      <w:r w:rsidRPr="00B22294">
        <w:rPr>
          <w:b/>
          <w:color w:val="000000"/>
        </w:rPr>
        <w:t xml:space="preserve"> керамики в системе </w:t>
      </w:r>
      <w:r w:rsidRPr="00B22294">
        <w:rPr>
          <w:b/>
          <w:color w:val="000000"/>
          <w:lang w:val="en-US"/>
        </w:rPr>
        <w:t>Ca</w:t>
      </w:r>
      <w:r w:rsidRPr="00B22294">
        <w:rPr>
          <w:b/>
          <w:color w:val="000000"/>
          <w:vertAlign w:val="subscript"/>
        </w:rPr>
        <w:t>3</w:t>
      </w:r>
      <w:r w:rsidRPr="00B22294">
        <w:rPr>
          <w:b/>
          <w:color w:val="000000"/>
        </w:rPr>
        <w:t>(</w:t>
      </w:r>
      <w:r>
        <w:rPr>
          <w:b/>
          <w:color w:val="000000"/>
          <w:lang w:val="en-US"/>
        </w:rPr>
        <w:t>PO</w:t>
      </w:r>
      <w:r w:rsidRPr="00B22294">
        <w:rPr>
          <w:b/>
          <w:color w:val="000000"/>
          <w:vertAlign w:val="subscript"/>
        </w:rPr>
        <w:t>4</w:t>
      </w:r>
      <w:r w:rsidRPr="00B22294">
        <w:rPr>
          <w:b/>
          <w:color w:val="000000"/>
        </w:rPr>
        <w:t>)</w:t>
      </w:r>
      <w:r w:rsidRPr="00B22294">
        <w:rPr>
          <w:b/>
          <w:color w:val="000000"/>
          <w:vertAlign w:val="subscript"/>
        </w:rPr>
        <w:t>2</w:t>
      </w:r>
      <w:r w:rsidRPr="00B22294">
        <w:rPr>
          <w:b/>
          <w:color w:val="000000"/>
        </w:rPr>
        <w:t>-</w:t>
      </w:r>
      <w:r w:rsidRPr="00B22294">
        <w:rPr>
          <w:b/>
          <w:color w:val="000000"/>
          <w:lang w:val="en-US"/>
        </w:rPr>
        <w:t>Ca</w:t>
      </w:r>
      <w:r w:rsidRPr="00B22294">
        <w:rPr>
          <w:b/>
          <w:color w:val="000000"/>
          <w:vertAlign w:val="subscript"/>
        </w:rPr>
        <w:t>2.5</w:t>
      </w:r>
      <w:proofErr w:type="gramStart"/>
      <w:r w:rsidRPr="00B22294">
        <w:rPr>
          <w:b/>
          <w:color w:val="000000"/>
          <w:lang w:val="en-US"/>
        </w:rPr>
        <w:t>Na</w:t>
      </w:r>
      <w:r w:rsidRPr="00B22294">
        <w:rPr>
          <w:b/>
          <w:color w:val="000000"/>
        </w:rPr>
        <w:t>(</w:t>
      </w:r>
      <w:proofErr w:type="gramEnd"/>
      <w:r w:rsidRPr="00B22294">
        <w:rPr>
          <w:b/>
          <w:color w:val="000000"/>
          <w:lang w:val="en-US"/>
        </w:rPr>
        <w:t>PO</w:t>
      </w:r>
      <w:r w:rsidRPr="00B22294">
        <w:rPr>
          <w:b/>
          <w:color w:val="000000"/>
          <w:vertAlign w:val="subscript"/>
        </w:rPr>
        <w:t>4</w:t>
      </w:r>
      <w:r w:rsidRPr="00B22294">
        <w:rPr>
          <w:b/>
          <w:color w:val="000000"/>
        </w:rPr>
        <w:t>)</w:t>
      </w:r>
      <w:r w:rsidRPr="00B22294">
        <w:rPr>
          <w:b/>
          <w:color w:val="000000"/>
          <w:vertAlign w:val="subscript"/>
        </w:rPr>
        <w:t>2</w:t>
      </w:r>
      <w:r w:rsidRPr="00B22294">
        <w:rPr>
          <w:b/>
          <w:color w:val="000000"/>
        </w:rPr>
        <w:t>, полученные методом 3</w:t>
      </w:r>
      <w:r w:rsidRPr="00B22294">
        <w:rPr>
          <w:b/>
          <w:color w:val="000000"/>
          <w:lang w:val="en-US"/>
        </w:rPr>
        <w:t>D</w:t>
      </w:r>
      <w:r w:rsidRPr="00B22294">
        <w:rPr>
          <w:b/>
          <w:color w:val="000000"/>
        </w:rPr>
        <w:t xml:space="preserve"> печати</w:t>
      </w:r>
    </w:p>
    <w:p w14:paraId="00000002" w14:textId="692F5515" w:rsidR="00130241" w:rsidRPr="00B22294" w:rsidRDefault="001D0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D0CB6">
        <w:rPr>
          <w:b/>
          <w:i/>
          <w:color w:val="000000"/>
        </w:rPr>
        <w:t>Мурашко</w:t>
      </w:r>
      <w:r>
        <w:rPr>
          <w:b/>
          <w:i/>
          <w:color w:val="000000"/>
        </w:rPr>
        <w:t xml:space="preserve"> А.М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Pr="001D0CB6">
        <w:rPr>
          <w:b/>
          <w:i/>
          <w:color w:val="000000"/>
        </w:rPr>
        <w:t>Филиппов</w:t>
      </w:r>
      <w:r>
        <w:rPr>
          <w:b/>
          <w:i/>
          <w:color w:val="000000"/>
        </w:rPr>
        <w:t xml:space="preserve"> Я.Ю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B22294" w:rsidRPr="00B22294">
        <w:rPr>
          <w:b/>
          <w:i/>
          <w:color w:val="000000"/>
        </w:rPr>
        <w:t>, Евдокимов П.В.</w:t>
      </w:r>
      <w:r w:rsidR="00B22294" w:rsidRPr="00B22294">
        <w:rPr>
          <w:b/>
          <w:i/>
          <w:color w:val="000000"/>
          <w:vertAlign w:val="superscript"/>
        </w:rPr>
        <w:t xml:space="preserve"> </w:t>
      </w:r>
      <w:r w:rsidR="00B22294" w:rsidRPr="00B22294">
        <w:rPr>
          <w:b/>
          <w:i/>
          <w:iCs/>
          <w:color w:val="000000"/>
          <w:vertAlign w:val="superscript"/>
        </w:rPr>
        <w:t>3</w:t>
      </w:r>
      <w:r w:rsidR="00B22294" w:rsidRPr="00B22294">
        <w:rPr>
          <w:b/>
          <w:i/>
          <w:color w:val="000000"/>
        </w:rPr>
        <w:t xml:space="preserve">, </w:t>
      </w:r>
      <w:proofErr w:type="spellStart"/>
      <w:r w:rsidR="00B22294" w:rsidRPr="00B22294">
        <w:rPr>
          <w:b/>
          <w:i/>
          <w:color w:val="000000"/>
        </w:rPr>
        <w:t>Путляев</w:t>
      </w:r>
      <w:proofErr w:type="spellEnd"/>
      <w:r w:rsidR="00B22294" w:rsidRPr="00B22294">
        <w:rPr>
          <w:b/>
          <w:i/>
          <w:color w:val="000000"/>
        </w:rPr>
        <w:t xml:space="preserve"> В.И.</w:t>
      </w:r>
      <w:r w:rsidR="00B22294" w:rsidRPr="00B22294">
        <w:rPr>
          <w:b/>
          <w:i/>
          <w:color w:val="000000"/>
          <w:vertAlign w:val="superscript"/>
        </w:rPr>
        <w:t xml:space="preserve"> </w:t>
      </w:r>
      <w:r w:rsidR="00B22294" w:rsidRPr="00B22294">
        <w:rPr>
          <w:b/>
          <w:i/>
          <w:iCs/>
          <w:color w:val="000000"/>
          <w:vertAlign w:val="superscript"/>
        </w:rPr>
        <w:t>3</w:t>
      </w:r>
    </w:p>
    <w:p w14:paraId="00000003" w14:textId="7CDF8DF6" w:rsidR="00130241" w:rsidRDefault="001D0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F3F22">
        <w:rPr>
          <w:i/>
          <w:color w:val="000000"/>
        </w:rPr>
        <w:t>2</w:t>
      </w:r>
      <w:r>
        <w:rPr>
          <w:i/>
          <w:color w:val="000000"/>
        </w:rPr>
        <w:t xml:space="preserve"> курс магистратуры</w:t>
      </w:r>
    </w:p>
    <w:p w14:paraId="00000005" w14:textId="71881477" w:rsidR="00130241" w:rsidRPr="00391C38" w:rsidRDefault="00EB1F49" w:rsidP="00A50D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A50D96" w:rsidRPr="00A50D96">
        <w:rPr>
          <w:i/>
          <w:color w:val="000000"/>
        </w:rPr>
        <w:t>Факультет наук о материалах МГУ имени М.В. Ломоносова, 119991, Москва, Россия</w:t>
      </w:r>
    </w:p>
    <w:p w14:paraId="6F38405F" w14:textId="4F25E197" w:rsidR="009B330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A50D96" w:rsidRPr="00A50D96">
        <w:rPr>
          <w:i/>
          <w:color w:val="000000"/>
        </w:rPr>
        <w:t>НИИ Механики МГУ имени М.В. Ломоносова, 119991, Москва, Россия</w:t>
      </w:r>
    </w:p>
    <w:p w14:paraId="142DB395" w14:textId="25935A85" w:rsidR="00B22294" w:rsidRPr="00B22294" w:rsidRDefault="00B22294" w:rsidP="00F00E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Химический факультет </w:t>
      </w:r>
      <w:r w:rsidRPr="00A50D96">
        <w:rPr>
          <w:i/>
          <w:color w:val="000000"/>
        </w:rPr>
        <w:t>МГУ имени М.В. Ломоносова, 119991, Москва, Россия</w:t>
      </w:r>
    </w:p>
    <w:p w14:paraId="1ADA4293" w14:textId="471BE504" w:rsidR="00CD00B1" w:rsidRPr="00515EE8" w:rsidRDefault="00EB1F49" w:rsidP="00CA6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15EE8">
        <w:rPr>
          <w:i/>
          <w:color w:val="000000"/>
          <w:lang w:val="en-US"/>
        </w:rPr>
        <w:t>E</w:t>
      </w:r>
      <w:r w:rsidR="003B76D6" w:rsidRPr="00515EE8">
        <w:rPr>
          <w:i/>
          <w:color w:val="000000"/>
          <w:lang w:val="en-US"/>
        </w:rPr>
        <w:t>-</w:t>
      </w:r>
      <w:r w:rsidRPr="00515EE8">
        <w:rPr>
          <w:i/>
          <w:color w:val="000000"/>
          <w:lang w:val="en-US"/>
        </w:rPr>
        <w:t xml:space="preserve">mail: </w:t>
      </w:r>
      <w:r w:rsidR="00515EE8" w:rsidRPr="00515EE8">
        <w:rPr>
          <w:i/>
          <w:color w:val="000000"/>
          <w:u w:val="single"/>
          <w:lang w:val="en-US"/>
        </w:rPr>
        <w:t>murashkoam@my.msu.ru</w:t>
      </w:r>
    </w:p>
    <w:p w14:paraId="2B546799" w14:textId="4208BA11" w:rsidR="00B22294" w:rsidRPr="00B22294" w:rsidRDefault="00B22294" w:rsidP="00B222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B22294">
        <w:rPr>
          <w:color w:val="000000"/>
        </w:rPr>
        <w:t>Бифазная</w:t>
      </w:r>
      <w:proofErr w:type="spellEnd"/>
      <w:r w:rsidRPr="00B22294">
        <w:rPr>
          <w:color w:val="000000"/>
        </w:rPr>
        <w:t xml:space="preserve"> керамика на основе высокотемпературных фаз </w:t>
      </w:r>
      <w:proofErr w:type="spellStart"/>
      <w:r w:rsidRPr="00B22294">
        <w:rPr>
          <w:color w:val="000000"/>
        </w:rPr>
        <w:t>трикальциевого</w:t>
      </w:r>
      <w:proofErr w:type="spellEnd"/>
      <w:r w:rsidRPr="00B22294">
        <w:rPr>
          <w:color w:val="000000"/>
        </w:rPr>
        <w:t xml:space="preserve"> фосфата (ТКФ) и смешанного фосфата кальция-натрия перспективна в качестве материала для регенерации костной ткани за счет возможности контролировать скорость ее растворения в среде организма путем варьирования содержания компонентов в составе. Помимо </w:t>
      </w:r>
      <w:proofErr w:type="spellStart"/>
      <w:r w:rsidRPr="00B22294">
        <w:rPr>
          <w:color w:val="000000"/>
        </w:rPr>
        <w:t>биорезорбируемости</w:t>
      </w:r>
      <w:proofErr w:type="spellEnd"/>
      <w:r w:rsidRPr="00B22294">
        <w:rPr>
          <w:color w:val="000000"/>
        </w:rPr>
        <w:t xml:space="preserve"> имплантат должен обладать связанной системой макропор, для создания которых применяют аддитивные технологии. Таким образом, целью данной работы стала разработка керамических материалов в системе Ca</w:t>
      </w:r>
      <w:r w:rsidRPr="00B22294">
        <w:rPr>
          <w:color w:val="000000"/>
          <w:vertAlign w:val="subscript"/>
        </w:rPr>
        <w:t>3</w:t>
      </w:r>
      <w:r w:rsidRPr="00B22294">
        <w:rPr>
          <w:color w:val="000000"/>
        </w:rPr>
        <w:t>(PO</w:t>
      </w:r>
      <w:r w:rsidRPr="00B22294">
        <w:rPr>
          <w:color w:val="000000"/>
          <w:vertAlign w:val="subscript"/>
        </w:rPr>
        <w:t>4</w:t>
      </w:r>
      <w:r w:rsidRPr="00B22294">
        <w:rPr>
          <w:color w:val="000000"/>
        </w:rPr>
        <w:t>)</w:t>
      </w:r>
      <w:r w:rsidRPr="00B22294">
        <w:rPr>
          <w:color w:val="000000"/>
          <w:vertAlign w:val="subscript"/>
        </w:rPr>
        <w:t>2</w:t>
      </w:r>
      <w:r w:rsidRPr="00B22294">
        <w:rPr>
          <w:color w:val="000000"/>
        </w:rPr>
        <w:t>-Ca</w:t>
      </w:r>
      <w:r w:rsidRPr="00B22294">
        <w:rPr>
          <w:color w:val="000000"/>
          <w:vertAlign w:val="subscript"/>
        </w:rPr>
        <w:t>2.5</w:t>
      </w:r>
      <w:proofErr w:type="gramStart"/>
      <w:r w:rsidRPr="00B22294">
        <w:rPr>
          <w:color w:val="000000"/>
        </w:rPr>
        <w:t>Na(</w:t>
      </w:r>
      <w:proofErr w:type="gramEnd"/>
      <w:r w:rsidRPr="00B22294">
        <w:rPr>
          <w:color w:val="000000"/>
        </w:rPr>
        <w:t>PO</w:t>
      </w:r>
      <w:r w:rsidRPr="00B22294">
        <w:rPr>
          <w:color w:val="000000"/>
          <w:vertAlign w:val="subscript"/>
        </w:rPr>
        <w:t>4</w:t>
      </w:r>
      <w:r w:rsidRPr="00B22294">
        <w:rPr>
          <w:color w:val="000000"/>
        </w:rPr>
        <w:t>)</w:t>
      </w:r>
      <w:r w:rsidRPr="00B22294">
        <w:rPr>
          <w:color w:val="000000"/>
          <w:vertAlign w:val="subscript"/>
        </w:rPr>
        <w:t>2</w:t>
      </w:r>
      <w:r w:rsidRPr="00B22294">
        <w:rPr>
          <w:color w:val="000000"/>
        </w:rPr>
        <w:t xml:space="preserve"> с заданной архитектурой порового пространства с использованием стереолитографической 3</w:t>
      </w:r>
      <w:r w:rsidRPr="00B22294">
        <w:rPr>
          <w:color w:val="000000"/>
          <w:lang w:val="en-US"/>
        </w:rPr>
        <w:t>D</w:t>
      </w:r>
      <w:r w:rsidRPr="00B22294">
        <w:rPr>
          <w:color w:val="000000"/>
        </w:rPr>
        <w:t xml:space="preserve"> печати.</w:t>
      </w:r>
    </w:p>
    <w:p w14:paraId="19167033" w14:textId="77777777" w:rsidR="00F00EF8" w:rsidRDefault="00B22294" w:rsidP="00B222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22294">
        <w:rPr>
          <w:color w:val="000000"/>
        </w:rPr>
        <w:t>По совокупности данных термического анализа и РФА было проведено уточнение высокотемпературных областей фазовых равновесий в данной системе. Определены диапазоны составов и условия для стабилизации и получения высокотемпературной фазы Ca</w:t>
      </w:r>
      <w:r w:rsidRPr="00B22294">
        <w:rPr>
          <w:color w:val="000000"/>
          <w:vertAlign w:val="subscript"/>
        </w:rPr>
        <w:t>2.5</w:t>
      </w:r>
      <w:proofErr w:type="gramStart"/>
      <w:r w:rsidRPr="00B22294">
        <w:rPr>
          <w:color w:val="000000"/>
        </w:rPr>
        <w:t>Na(</w:t>
      </w:r>
      <w:proofErr w:type="gramEnd"/>
      <w:r w:rsidRPr="00B22294">
        <w:rPr>
          <w:color w:val="000000"/>
        </w:rPr>
        <w:t>PO</w:t>
      </w:r>
      <w:r w:rsidRPr="00B22294">
        <w:rPr>
          <w:color w:val="000000"/>
          <w:vertAlign w:val="subscript"/>
        </w:rPr>
        <w:t>4</w:t>
      </w:r>
      <w:r w:rsidRPr="00B22294">
        <w:rPr>
          <w:color w:val="000000"/>
        </w:rPr>
        <w:t>)</w:t>
      </w:r>
      <w:r w:rsidRPr="00B22294">
        <w:rPr>
          <w:color w:val="000000"/>
          <w:vertAlign w:val="subscript"/>
        </w:rPr>
        <w:t>2</w:t>
      </w:r>
      <w:r w:rsidRPr="00B22294">
        <w:rPr>
          <w:color w:val="000000"/>
        </w:rPr>
        <w:t xml:space="preserve"> («А»). На основе уточненной фазовой диаграммы были выбраны режимы для получения </w:t>
      </w:r>
      <w:proofErr w:type="spellStart"/>
      <w:r w:rsidRPr="00B22294">
        <w:rPr>
          <w:color w:val="000000"/>
        </w:rPr>
        <w:t>бифазной</w:t>
      </w:r>
      <w:proofErr w:type="spellEnd"/>
      <w:r w:rsidRPr="00B22294">
        <w:rPr>
          <w:color w:val="000000"/>
        </w:rPr>
        <w:t xml:space="preserve"> керамики заданного состава с различным соотношением α-/β-Са</w:t>
      </w:r>
      <w:r w:rsidRPr="00B22294">
        <w:rPr>
          <w:color w:val="000000"/>
          <w:vertAlign w:val="subscript"/>
        </w:rPr>
        <w:t>3</w:t>
      </w:r>
      <w:r w:rsidRPr="00B22294">
        <w:rPr>
          <w:color w:val="000000"/>
        </w:rPr>
        <w:t>(РО</w:t>
      </w:r>
      <w:r w:rsidRPr="00B22294">
        <w:rPr>
          <w:color w:val="000000"/>
          <w:vertAlign w:val="subscript"/>
        </w:rPr>
        <w:t>4</w:t>
      </w:r>
      <w:r w:rsidRPr="00B22294">
        <w:rPr>
          <w:color w:val="000000"/>
        </w:rPr>
        <w:t>)</w:t>
      </w:r>
      <w:r w:rsidRPr="00B22294">
        <w:rPr>
          <w:color w:val="000000"/>
          <w:vertAlign w:val="subscript"/>
        </w:rPr>
        <w:t>2</w:t>
      </w:r>
      <w:r w:rsidRPr="00B22294">
        <w:rPr>
          <w:color w:val="000000"/>
        </w:rPr>
        <w:t xml:space="preserve"> и фазы «А». Для проведения дальнейшего исследования использовали составы, попадающие в крайние точки существования области β-Са</w:t>
      </w:r>
      <w:r w:rsidRPr="00B22294">
        <w:rPr>
          <w:color w:val="000000"/>
          <w:vertAlign w:val="subscript"/>
        </w:rPr>
        <w:t>3</w:t>
      </w:r>
      <w:r w:rsidRPr="00B22294">
        <w:rPr>
          <w:color w:val="000000"/>
        </w:rPr>
        <w:t>(РО</w:t>
      </w:r>
      <w:r w:rsidRPr="00B22294">
        <w:rPr>
          <w:color w:val="000000"/>
          <w:vertAlign w:val="subscript"/>
        </w:rPr>
        <w:t>4</w:t>
      </w:r>
      <w:r w:rsidRPr="00B22294">
        <w:rPr>
          <w:color w:val="000000"/>
        </w:rPr>
        <w:t>)</w:t>
      </w:r>
      <w:r w:rsidRPr="00B22294">
        <w:rPr>
          <w:color w:val="000000"/>
          <w:vertAlign w:val="subscript"/>
        </w:rPr>
        <w:t>2</w:t>
      </w:r>
      <w:r w:rsidRPr="00B22294">
        <w:rPr>
          <w:color w:val="000000"/>
        </w:rPr>
        <w:t xml:space="preserve"> /фаза «А, спекание которых проводили с использованием многостадийного режима термообработки с последующей закалкой, чтобы попасть в заданную фазовую область.</w:t>
      </w:r>
    </w:p>
    <w:p w14:paraId="74639180" w14:textId="77777777" w:rsidR="00B22294" w:rsidRPr="00B22294" w:rsidRDefault="00B22294" w:rsidP="00B222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22294">
        <w:rPr>
          <w:color w:val="000000"/>
        </w:rPr>
        <w:t>Были исследованы фоточувствительные характеристики суспензий, содержащих различные порошковые смеси ТКФ и фазы «А», для определения режима проведения 3D печати. Для оптимизации полученного режима печати были изучены реологические характеристики светоотверждаемых суспензий на основе фосфатов кальция с варьированием содержания ПАВ в составе, концентрации и типа порошкового наполнителя. Разработаны температурные программы для равномерного удаления органической матрицы композитов, полученных в ходе стереолитографической печати. Прочность при сжатии макропористой керамики с заданной пористостью 70 % на основе Са</w:t>
      </w:r>
      <w:r w:rsidRPr="00B22294">
        <w:rPr>
          <w:color w:val="000000"/>
          <w:vertAlign w:val="subscript"/>
        </w:rPr>
        <w:t>3</w:t>
      </w:r>
      <w:r w:rsidRPr="00B22294">
        <w:rPr>
          <w:color w:val="000000"/>
        </w:rPr>
        <w:t>(РО</w:t>
      </w:r>
      <w:r w:rsidRPr="00B22294">
        <w:rPr>
          <w:color w:val="000000"/>
          <w:vertAlign w:val="subscript"/>
        </w:rPr>
        <w:t>4</w:t>
      </w:r>
      <w:r w:rsidRPr="00B22294">
        <w:rPr>
          <w:color w:val="000000"/>
        </w:rPr>
        <w:t>)</w:t>
      </w:r>
      <w:r w:rsidRPr="00B22294">
        <w:rPr>
          <w:color w:val="000000"/>
          <w:vertAlign w:val="subscript"/>
        </w:rPr>
        <w:t>2</w:t>
      </w:r>
      <w:r w:rsidRPr="00B22294">
        <w:rPr>
          <w:color w:val="000000"/>
        </w:rPr>
        <w:t xml:space="preserve"> составила до 2 МПа при открытой пористости порядка 10 %, что приемлемо для дальнейших клинических испытаний.</w:t>
      </w:r>
    </w:p>
    <w:p w14:paraId="3BA9179C" w14:textId="0D680747" w:rsidR="00FC3B47" w:rsidRDefault="004A5B69" w:rsidP="00B222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F00EF8">
        <w:rPr>
          <w:i/>
          <w:color w:val="000000"/>
        </w:rPr>
        <w:t>Работа выполнена при финансовой поддержке гранта РНФ № 23</w:t>
      </w:r>
      <w:r w:rsidR="00390785" w:rsidRPr="00F00EF8">
        <w:rPr>
          <w:i/>
          <w:color w:val="000000"/>
        </w:rPr>
        <w:t>–</w:t>
      </w:r>
      <w:r w:rsidRPr="00F00EF8">
        <w:rPr>
          <w:i/>
          <w:color w:val="000000"/>
        </w:rPr>
        <w:t>79</w:t>
      </w:r>
      <w:r w:rsidR="00390785" w:rsidRPr="00F00EF8">
        <w:rPr>
          <w:i/>
          <w:color w:val="000000"/>
        </w:rPr>
        <w:t>–</w:t>
      </w:r>
      <w:r w:rsidRPr="00F00EF8">
        <w:rPr>
          <w:i/>
          <w:color w:val="000000"/>
        </w:rPr>
        <w:t>10103.</w:t>
      </w:r>
    </w:p>
    <w:sectPr w:rsidR="00FC3B4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043502">
    <w:abstractNumId w:val="0"/>
  </w:num>
  <w:num w:numId="2" w16cid:durableId="55994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39FA"/>
    <w:rsid w:val="00086081"/>
    <w:rsid w:val="00101A1C"/>
    <w:rsid w:val="00103657"/>
    <w:rsid w:val="00106375"/>
    <w:rsid w:val="00116478"/>
    <w:rsid w:val="00130241"/>
    <w:rsid w:val="001D0CB6"/>
    <w:rsid w:val="001E61C2"/>
    <w:rsid w:val="001F0493"/>
    <w:rsid w:val="002264EE"/>
    <w:rsid w:val="0023307C"/>
    <w:rsid w:val="0031361E"/>
    <w:rsid w:val="00316DE3"/>
    <w:rsid w:val="00390785"/>
    <w:rsid w:val="00391C38"/>
    <w:rsid w:val="003B76D6"/>
    <w:rsid w:val="003E1A25"/>
    <w:rsid w:val="003F3F22"/>
    <w:rsid w:val="004A26A3"/>
    <w:rsid w:val="004A5B69"/>
    <w:rsid w:val="004A7961"/>
    <w:rsid w:val="004B4A81"/>
    <w:rsid w:val="004C05BA"/>
    <w:rsid w:val="004E2445"/>
    <w:rsid w:val="004E5C47"/>
    <w:rsid w:val="004F0EDF"/>
    <w:rsid w:val="00515EE8"/>
    <w:rsid w:val="00522BF1"/>
    <w:rsid w:val="00527573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7F79A1"/>
    <w:rsid w:val="008931BE"/>
    <w:rsid w:val="00896276"/>
    <w:rsid w:val="008C67E3"/>
    <w:rsid w:val="00921D45"/>
    <w:rsid w:val="009224EE"/>
    <w:rsid w:val="009A66DB"/>
    <w:rsid w:val="009B2F80"/>
    <w:rsid w:val="009B3300"/>
    <w:rsid w:val="009F3380"/>
    <w:rsid w:val="00A02163"/>
    <w:rsid w:val="00A314FE"/>
    <w:rsid w:val="00A50D96"/>
    <w:rsid w:val="00A84581"/>
    <w:rsid w:val="00AE4767"/>
    <w:rsid w:val="00B22294"/>
    <w:rsid w:val="00BF36F8"/>
    <w:rsid w:val="00BF4622"/>
    <w:rsid w:val="00CA6732"/>
    <w:rsid w:val="00CD00B1"/>
    <w:rsid w:val="00D22306"/>
    <w:rsid w:val="00D42542"/>
    <w:rsid w:val="00D8121C"/>
    <w:rsid w:val="00DB5515"/>
    <w:rsid w:val="00E22189"/>
    <w:rsid w:val="00E32FD5"/>
    <w:rsid w:val="00E74069"/>
    <w:rsid w:val="00EB1F49"/>
    <w:rsid w:val="00F00EF8"/>
    <w:rsid w:val="00F45483"/>
    <w:rsid w:val="00F865B3"/>
    <w:rsid w:val="00FA102B"/>
    <w:rsid w:val="00FB1509"/>
    <w:rsid w:val="00FC3B4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588840-DC85-4BAF-8D2B-FA80357B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m</dc:creator>
  <cp:lastModifiedBy>Иван Chernoukhov</cp:lastModifiedBy>
  <cp:revision>2</cp:revision>
  <dcterms:created xsi:type="dcterms:W3CDTF">2025-03-23T00:07:00Z</dcterms:created>
  <dcterms:modified xsi:type="dcterms:W3CDTF">2025-03-23T00:07:00Z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