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B70B6F3" w:rsidR="00130241" w:rsidRDefault="00B54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Остеокондуктивные</w:t>
      </w:r>
      <w:proofErr w:type="spellEnd"/>
      <w:r>
        <w:rPr>
          <w:b/>
          <w:color w:val="000000"/>
        </w:rPr>
        <w:t xml:space="preserve"> композитные </w:t>
      </w:r>
      <w:proofErr w:type="spellStart"/>
      <w:r>
        <w:rPr>
          <w:b/>
          <w:color w:val="000000"/>
        </w:rPr>
        <w:t>скаффолды</w:t>
      </w:r>
      <w:proofErr w:type="spellEnd"/>
      <w:r>
        <w:rPr>
          <w:b/>
          <w:color w:val="000000"/>
        </w:rPr>
        <w:t xml:space="preserve"> на основе </w:t>
      </w:r>
      <w:proofErr w:type="spellStart"/>
      <w:r>
        <w:rPr>
          <w:b/>
          <w:color w:val="000000"/>
        </w:rPr>
        <w:t>поликапролактона</w:t>
      </w:r>
      <w:proofErr w:type="spellEnd"/>
      <w:r>
        <w:rPr>
          <w:b/>
          <w:color w:val="000000"/>
        </w:rPr>
        <w:t xml:space="preserve"> для регенерации костной ткани</w:t>
      </w:r>
    </w:p>
    <w:p w14:paraId="5C27024B" w14:textId="59199E76" w:rsidR="00B54C0D" w:rsidRPr="008730BB" w:rsidRDefault="00B54C0D" w:rsidP="00B54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8730BB">
        <w:rPr>
          <w:b/>
          <w:i/>
          <w:iCs/>
          <w:color w:val="000000"/>
        </w:rPr>
        <w:t>Голубчиков Д.О.</w:t>
      </w:r>
      <w:r w:rsidRPr="00B54C0D">
        <w:rPr>
          <w:b/>
          <w:i/>
          <w:color w:val="000000"/>
          <w:vertAlign w:val="superscript"/>
        </w:rPr>
        <w:t>1,2</w:t>
      </w:r>
      <w:r w:rsidRPr="00B54C0D">
        <w:rPr>
          <w:b/>
          <w:i/>
          <w:color w:val="000000"/>
        </w:rPr>
        <w:t>, Евдокимов П.В.</w:t>
      </w:r>
      <w:r w:rsidRPr="00B54C0D">
        <w:rPr>
          <w:b/>
          <w:i/>
          <w:color w:val="000000"/>
          <w:vertAlign w:val="superscript"/>
        </w:rPr>
        <w:t>1,2</w:t>
      </w:r>
      <w:r w:rsidRPr="00B54C0D">
        <w:rPr>
          <w:b/>
          <w:i/>
          <w:color w:val="000000"/>
        </w:rPr>
        <w:t xml:space="preserve">, </w:t>
      </w:r>
      <w:proofErr w:type="spellStart"/>
      <w:r w:rsidRPr="00B54C0D">
        <w:rPr>
          <w:b/>
          <w:i/>
          <w:color w:val="000000"/>
        </w:rPr>
        <w:t>Путляев</w:t>
      </w:r>
      <w:proofErr w:type="spellEnd"/>
      <w:r w:rsidRPr="00B54C0D">
        <w:rPr>
          <w:b/>
          <w:i/>
          <w:color w:val="000000"/>
        </w:rPr>
        <w:t xml:space="preserve"> В.И.</w:t>
      </w:r>
      <w:r w:rsidRPr="00B54C0D">
        <w:rPr>
          <w:b/>
          <w:i/>
          <w:color w:val="000000"/>
          <w:vertAlign w:val="superscript"/>
        </w:rPr>
        <w:t>1,2</w:t>
      </w:r>
    </w:p>
    <w:p w14:paraId="49B473B2" w14:textId="77777777" w:rsidR="00A3501E" w:rsidRDefault="00A3501E" w:rsidP="00FE5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1 год обучения</w:t>
      </w:r>
    </w:p>
    <w:p w14:paraId="5F8FEEE8" w14:textId="2270B698" w:rsidR="00B54C0D" w:rsidRPr="00B54C0D" w:rsidRDefault="00B54C0D" w:rsidP="00FE5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B54C0D">
        <w:rPr>
          <w:bCs/>
          <w:i/>
          <w:color w:val="000000"/>
          <w:vertAlign w:val="superscript"/>
        </w:rPr>
        <w:t xml:space="preserve">1 </w:t>
      </w:r>
      <w:r w:rsidRPr="00B54C0D">
        <w:rPr>
          <w:bCs/>
          <w:i/>
          <w:color w:val="000000"/>
        </w:rPr>
        <w:t>Факультет наук о материалах, Московский государственный университет имени М.В.</w:t>
      </w:r>
      <w:r w:rsidR="00FE5B4C">
        <w:rPr>
          <w:bCs/>
          <w:i/>
          <w:color w:val="000000"/>
          <w:lang w:val="en-US"/>
        </w:rPr>
        <w:t> </w:t>
      </w:r>
      <w:r w:rsidRPr="00B54C0D">
        <w:rPr>
          <w:bCs/>
          <w:i/>
          <w:color w:val="000000"/>
        </w:rPr>
        <w:t>Ломоносова, Москва, Россия</w:t>
      </w:r>
    </w:p>
    <w:p w14:paraId="2FCD1732" w14:textId="44129EA6" w:rsidR="00B54C0D" w:rsidRPr="00B54C0D" w:rsidRDefault="00B54C0D" w:rsidP="00FE5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B54C0D">
        <w:rPr>
          <w:bCs/>
          <w:i/>
          <w:color w:val="000000"/>
          <w:vertAlign w:val="superscript"/>
        </w:rPr>
        <w:t>2</w:t>
      </w:r>
      <w:r w:rsidRPr="00B54C0D">
        <w:rPr>
          <w:bCs/>
          <w:i/>
          <w:color w:val="000000"/>
        </w:rPr>
        <w:t xml:space="preserve"> Химический факультет, Московский государственный университет имени М.В.</w:t>
      </w:r>
      <w:r w:rsidR="00FE5B4C">
        <w:rPr>
          <w:bCs/>
          <w:i/>
          <w:color w:val="000000"/>
          <w:lang w:val="en-US"/>
        </w:rPr>
        <w:t> </w:t>
      </w:r>
      <w:r w:rsidRPr="00B54C0D">
        <w:rPr>
          <w:bCs/>
          <w:i/>
          <w:color w:val="000000"/>
        </w:rPr>
        <w:t>Ломоносова, Москва, Россия</w:t>
      </w:r>
    </w:p>
    <w:p w14:paraId="17A4EAA3" w14:textId="77777777" w:rsidR="00A3501E" w:rsidRPr="00A3501E" w:rsidRDefault="00C93881" w:rsidP="00FE5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A3501E">
        <w:rPr>
          <w:i/>
          <w:iCs/>
          <w:color w:val="000000"/>
          <w:lang w:val="en-US"/>
        </w:rPr>
        <w:t>E-mail:</w:t>
      </w:r>
      <w:r w:rsidRPr="00A3501E">
        <w:rPr>
          <w:color w:val="000000"/>
          <w:lang w:val="en-US"/>
        </w:rPr>
        <w:t xml:space="preserve"> </w:t>
      </w:r>
      <w:hyperlink r:id="rId6" w:history="1">
        <w:r w:rsidRPr="00A3501E">
          <w:rPr>
            <w:rStyle w:val="a9"/>
            <w:i/>
            <w:color w:val="000000"/>
            <w:lang w:val="en-US"/>
          </w:rPr>
          <w:t>golubchikovdo@my.msu.ru</w:t>
        </w:r>
      </w:hyperlink>
    </w:p>
    <w:p w14:paraId="779C1518" w14:textId="77777777" w:rsidR="00A3501E" w:rsidRDefault="00B54C0D" w:rsidP="00B54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</w:t>
      </w:r>
      <w:r w:rsidRPr="00B54C0D">
        <w:rPr>
          <w:color w:val="000000"/>
        </w:rPr>
        <w:t xml:space="preserve">изиология </w:t>
      </w:r>
      <w:r>
        <w:rPr>
          <w:color w:val="000000"/>
        </w:rPr>
        <w:t xml:space="preserve">здоровой </w:t>
      </w:r>
      <w:r w:rsidRPr="00B54C0D">
        <w:rPr>
          <w:color w:val="000000"/>
        </w:rPr>
        <w:t>кост</w:t>
      </w:r>
      <w:r>
        <w:rPr>
          <w:color w:val="000000"/>
        </w:rPr>
        <w:t>ной ткани</w:t>
      </w:r>
      <w:r w:rsidRPr="00B54C0D">
        <w:rPr>
          <w:color w:val="000000"/>
        </w:rPr>
        <w:t xml:space="preserve"> включает непрерывный</w:t>
      </w:r>
      <w:r>
        <w:rPr>
          <w:color w:val="000000"/>
        </w:rPr>
        <w:t xml:space="preserve"> интенсивный</w:t>
      </w:r>
      <w:r w:rsidRPr="00B54C0D">
        <w:rPr>
          <w:color w:val="000000"/>
        </w:rPr>
        <w:t xml:space="preserve"> цикл резорбции и </w:t>
      </w:r>
      <w:proofErr w:type="spellStart"/>
      <w:r w:rsidRPr="00B54C0D">
        <w:rPr>
          <w:color w:val="000000"/>
        </w:rPr>
        <w:t>ремоделирования</w:t>
      </w:r>
      <w:proofErr w:type="spellEnd"/>
      <w:r>
        <w:rPr>
          <w:color w:val="000000"/>
        </w:rPr>
        <w:t xml:space="preserve"> кости</w:t>
      </w:r>
      <w:r w:rsidRPr="00B54C0D">
        <w:rPr>
          <w:color w:val="000000"/>
        </w:rPr>
        <w:t>,</w:t>
      </w:r>
      <w:r>
        <w:rPr>
          <w:color w:val="000000"/>
        </w:rPr>
        <w:t xml:space="preserve"> который обусловлен циклической </w:t>
      </w:r>
      <w:r w:rsidRPr="00B54C0D">
        <w:rPr>
          <w:color w:val="000000"/>
        </w:rPr>
        <w:t xml:space="preserve">активностью </w:t>
      </w:r>
      <w:r>
        <w:rPr>
          <w:color w:val="000000"/>
        </w:rPr>
        <w:t xml:space="preserve">клеток кости: </w:t>
      </w:r>
      <w:r w:rsidRPr="00B54C0D">
        <w:rPr>
          <w:color w:val="000000"/>
        </w:rPr>
        <w:t xml:space="preserve">остеокластов и остеобластов, что позволяет восстанавливать </w:t>
      </w:r>
      <w:r>
        <w:rPr>
          <w:color w:val="000000"/>
        </w:rPr>
        <w:t xml:space="preserve">небольшие </w:t>
      </w:r>
      <w:r w:rsidRPr="00B54C0D">
        <w:rPr>
          <w:color w:val="000000"/>
        </w:rPr>
        <w:t xml:space="preserve">повреждения без хирургического вмешательства. </w:t>
      </w:r>
      <w:r>
        <w:rPr>
          <w:color w:val="000000"/>
        </w:rPr>
        <w:t>Тем не менее, существует предел, называемый</w:t>
      </w:r>
      <w:r w:rsidRPr="00B54C0D">
        <w:rPr>
          <w:color w:val="000000"/>
        </w:rPr>
        <w:t xml:space="preserve"> </w:t>
      </w:r>
      <w:r>
        <w:rPr>
          <w:color w:val="000000"/>
        </w:rPr>
        <w:t xml:space="preserve">критическим размером дефекта, который </w:t>
      </w:r>
      <w:r w:rsidRPr="00B54C0D">
        <w:rPr>
          <w:color w:val="000000"/>
        </w:rPr>
        <w:t>превыша</w:t>
      </w:r>
      <w:r>
        <w:rPr>
          <w:color w:val="000000"/>
        </w:rPr>
        <w:t>ет</w:t>
      </w:r>
      <w:r w:rsidRPr="00B54C0D">
        <w:rPr>
          <w:color w:val="000000"/>
        </w:rPr>
        <w:t xml:space="preserve"> способность кости к </w:t>
      </w:r>
      <w:proofErr w:type="spellStart"/>
      <w:r w:rsidRPr="00B54C0D">
        <w:rPr>
          <w:color w:val="000000"/>
        </w:rPr>
        <w:t>ремоделированию</w:t>
      </w:r>
      <w:proofErr w:type="spellEnd"/>
      <w:r w:rsidR="00F367B2">
        <w:rPr>
          <w:color w:val="000000"/>
        </w:rPr>
        <w:t xml:space="preserve"> и восстановлению</w:t>
      </w:r>
      <w:r>
        <w:rPr>
          <w:color w:val="000000"/>
        </w:rPr>
        <w:t>, и требует введения костных имплантатов</w:t>
      </w:r>
      <w:r w:rsidRPr="00B54C0D">
        <w:rPr>
          <w:color w:val="000000"/>
        </w:rPr>
        <w:t>, пригодных для восстановления крупных костных дефектов</w:t>
      </w:r>
      <w:r>
        <w:rPr>
          <w:color w:val="000000"/>
        </w:rPr>
        <w:t>.</w:t>
      </w:r>
      <w:r w:rsidRPr="00B54C0D">
        <w:rPr>
          <w:color w:val="000000"/>
        </w:rPr>
        <w:t xml:space="preserve"> </w:t>
      </w:r>
      <w:r>
        <w:rPr>
          <w:color w:val="000000"/>
        </w:rPr>
        <w:t>Немаловажно, чтобы н</w:t>
      </w:r>
      <w:r w:rsidRPr="00B54C0D">
        <w:rPr>
          <w:color w:val="000000"/>
        </w:rPr>
        <w:t>овые материалы для инженерии костной ткани</w:t>
      </w:r>
      <w:r>
        <w:rPr>
          <w:color w:val="000000"/>
        </w:rPr>
        <w:t xml:space="preserve"> как</w:t>
      </w:r>
      <w:r w:rsidRPr="00B54C0D">
        <w:rPr>
          <w:color w:val="000000"/>
        </w:rPr>
        <w:t xml:space="preserve"> имитирова</w:t>
      </w:r>
      <w:r>
        <w:rPr>
          <w:color w:val="000000"/>
        </w:rPr>
        <w:t>ли</w:t>
      </w:r>
      <w:r w:rsidRPr="00B54C0D">
        <w:rPr>
          <w:color w:val="000000"/>
        </w:rPr>
        <w:t xml:space="preserve"> естественные свойства кости, так и способствова</w:t>
      </w:r>
      <w:r w:rsidR="00F367B2">
        <w:rPr>
          <w:color w:val="000000"/>
        </w:rPr>
        <w:t>ли</w:t>
      </w:r>
      <w:r w:rsidRPr="00B54C0D">
        <w:rPr>
          <w:color w:val="000000"/>
        </w:rPr>
        <w:t xml:space="preserve"> </w:t>
      </w:r>
      <w:proofErr w:type="spellStart"/>
      <w:r w:rsidRPr="00B54C0D">
        <w:rPr>
          <w:color w:val="000000"/>
        </w:rPr>
        <w:t>ремоделированию</w:t>
      </w:r>
      <w:proofErr w:type="spellEnd"/>
      <w:r w:rsidRPr="00B54C0D">
        <w:rPr>
          <w:color w:val="000000"/>
        </w:rPr>
        <w:t xml:space="preserve"> кости </w:t>
      </w:r>
      <w:proofErr w:type="spellStart"/>
      <w:r w:rsidRPr="00B54C0D">
        <w:rPr>
          <w:i/>
          <w:iCs/>
          <w:color w:val="000000"/>
        </w:rPr>
        <w:t>in</w:t>
      </w:r>
      <w:proofErr w:type="spellEnd"/>
      <w:r w:rsidRPr="00B54C0D">
        <w:rPr>
          <w:i/>
          <w:iCs/>
          <w:color w:val="000000"/>
        </w:rPr>
        <w:t xml:space="preserve"> </w:t>
      </w:r>
      <w:proofErr w:type="spellStart"/>
      <w:r w:rsidRPr="00B54C0D">
        <w:rPr>
          <w:i/>
          <w:iCs/>
          <w:color w:val="000000"/>
        </w:rPr>
        <w:t>vivo</w:t>
      </w:r>
      <w:proofErr w:type="spellEnd"/>
      <w:r w:rsidRPr="00B54C0D">
        <w:rPr>
          <w:color w:val="000000"/>
        </w:rPr>
        <w:t>.</w:t>
      </w:r>
    </w:p>
    <w:p w14:paraId="51AA3D5F" w14:textId="77777777" w:rsidR="00A3501E" w:rsidRDefault="00B54C0D" w:rsidP="00B54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54C0D">
        <w:rPr>
          <w:color w:val="000000"/>
        </w:rPr>
        <w:t xml:space="preserve">В данной работе композитные </w:t>
      </w:r>
      <w:proofErr w:type="spellStart"/>
      <w:r w:rsidRPr="00B54C0D">
        <w:rPr>
          <w:color w:val="000000"/>
        </w:rPr>
        <w:t>скаффолды</w:t>
      </w:r>
      <w:proofErr w:type="spellEnd"/>
      <w:r w:rsidRPr="00B54C0D">
        <w:rPr>
          <w:color w:val="000000"/>
        </w:rPr>
        <w:t xml:space="preserve"> на основе </w:t>
      </w:r>
      <w:proofErr w:type="spellStart"/>
      <w:r w:rsidRPr="00B54C0D">
        <w:rPr>
          <w:color w:val="000000"/>
        </w:rPr>
        <w:t>поликапролактона</w:t>
      </w:r>
      <w:proofErr w:type="spellEnd"/>
      <w:r>
        <w:rPr>
          <w:color w:val="000000"/>
        </w:rPr>
        <w:t xml:space="preserve"> (ПКЛ)</w:t>
      </w:r>
      <w:r w:rsidRPr="00B54C0D">
        <w:rPr>
          <w:color w:val="000000"/>
        </w:rPr>
        <w:t xml:space="preserve">, </w:t>
      </w:r>
      <w:r>
        <w:rPr>
          <w:color w:val="000000"/>
        </w:rPr>
        <w:t>наполненные дисперсной фазой на основе</w:t>
      </w:r>
      <w:r w:rsidRPr="00B54C0D">
        <w:rPr>
          <w:color w:val="000000"/>
        </w:rPr>
        <w:t xml:space="preserve"> фосфат</w:t>
      </w:r>
      <w:r>
        <w:rPr>
          <w:color w:val="000000"/>
        </w:rPr>
        <w:t>ов</w:t>
      </w:r>
      <w:r w:rsidRPr="00B54C0D">
        <w:rPr>
          <w:color w:val="000000"/>
        </w:rPr>
        <w:t xml:space="preserve"> кальция</w:t>
      </w:r>
      <w:r>
        <w:rPr>
          <w:color w:val="000000"/>
        </w:rPr>
        <w:t xml:space="preserve"> (ФК)</w:t>
      </w:r>
      <w:r w:rsidRPr="00B54C0D">
        <w:rPr>
          <w:color w:val="000000"/>
        </w:rPr>
        <w:t xml:space="preserve">, были изготовлены с помощью новой </w:t>
      </w:r>
      <w:proofErr w:type="spellStart"/>
      <w:r w:rsidRPr="00B54C0D">
        <w:rPr>
          <w:color w:val="000000"/>
        </w:rPr>
        <w:t>трех</w:t>
      </w:r>
      <w:r w:rsidR="00E9281B">
        <w:rPr>
          <w:color w:val="000000"/>
        </w:rPr>
        <w:t>стадий</w:t>
      </w:r>
      <w:r w:rsidRPr="00B54C0D">
        <w:rPr>
          <w:color w:val="000000"/>
        </w:rPr>
        <w:t>ной</w:t>
      </w:r>
      <w:proofErr w:type="spellEnd"/>
      <w:r w:rsidRPr="00B54C0D">
        <w:rPr>
          <w:color w:val="000000"/>
        </w:rPr>
        <w:t xml:space="preserve"> технологии, использующей метод 3D-печати </w:t>
      </w:r>
      <w:r w:rsidR="006D0DA3">
        <w:rPr>
          <w:color w:val="000000"/>
        </w:rPr>
        <w:t>(</w:t>
      </w:r>
      <w:r w:rsidRPr="00B54C0D">
        <w:rPr>
          <w:color w:val="000000"/>
        </w:rPr>
        <w:t>DLP</w:t>
      </w:r>
      <w:r w:rsidR="006D0DA3">
        <w:rPr>
          <w:color w:val="000000"/>
        </w:rPr>
        <w:t>)</w:t>
      </w:r>
      <w:r w:rsidRPr="00B54C0D">
        <w:rPr>
          <w:color w:val="000000"/>
        </w:rPr>
        <w:t xml:space="preserve"> с высоким разрешением</w:t>
      </w:r>
      <w:r>
        <w:rPr>
          <w:color w:val="000000"/>
        </w:rPr>
        <w:t xml:space="preserve"> [</w:t>
      </w:r>
      <w:r w:rsidRPr="00B54C0D">
        <w:rPr>
          <w:color w:val="000000"/>
        </w:rPr>
        <w:t xml:space="preserve">1]. Были синтезированы стабилизированные наночастицы </w:t>
      </w:r>
      <w:r>
        <w:rPr>
          <w:color w:val="000000"/>
        </w:rPr>
        <w:t>ФК</w:t>
      </w:r>
      <w:r w:rsidRPr="00B54C0D">
        <w:rPr>
          <w:color w:val="000000"/>
        </w:rPr>
        <w:t xml:space="preserve">, а также оценена эффективность трех </w:t>
      </w:r>
      <w:proofErr w:type="spellStart"/>
      <w:r w:rsidRPr="00B54C0D">
        <w:rPr>
          <w:color w:val="000000"/>
        </w:rPr>
        <w:t>карбоксилатных</w:t>
      </w:r>
      <w:proofErr w:type="spellEnd"/>
      <w:r w:rsidRPr="00B54C0D">
        <w:rPr>
          <w:color w:val="000000"/>
        </w:rPr>
        <w:t xml:space="preserve"> анионов в качестве потенциальных ингибиторов кристаллизации </w:t>
      </w:r>
      <w:r>
        <w:rPr>
          <w:color w:val="000000"/>
        </w:rPr>
        <w:t>аморфного фосфата кальция</w:t>
      </w:r>
      <w:r w:rsidRPr="00B54C0D">
        <w:rPr>
          <w:color w:val="000000"/>
        </w:rPr>
        <w:t xml:space="preserve"> [2]. Дальнейшее исследование было посвящено изучению синергетического </w:t>
      </w:r>
      <w:r>
        <w:rPr>
          <w:color w:val="000000"/>
        </w:rPr>
        <w:t>влияния</w:t>
      </w:r>
      <w:r w:rsidRPr="00B54C0D">
        <w:rPr>
          <w:color w:val="000000"/>
        </w:rPr>
        <w:t xml:space="preserve"> </w:t>
      </w:r>
      <w:r>
        <w:rPr>
          <w:color w:val="000000"/>
        </w:rPr>
        <w:t>ПКЛ</w:t>
      </w:r>
      <w:r w:rsidRPr="00B54C0D">
        <w:rPr>
          <w:color w:val="000000"/>
        </w:rPr>
        <w:t xml:space="preserve"> и неорганической дисперсной фазы </w:t>
      </w:r>
      <w:r>
        <w:rPr>
          <w:color w:val="000000"/>
        </w:rPr>
        <w:t>АФК</w:t>
      </w:r>
      <w:r w:rsidRPr="00B54C0D">
        <w:rPr>
          <w:color w:val="000000"/>
        </w:rPr>
        <w:t xml:space="preserve"> на механические и поверхностные </w:t>
      </w:r>
      <w:r>
        <w:rPr>
          <w:color w:val="000000"/>
        </w:rPr>
        <w:t>свойства</w:t>
      </w:r>
      <w:r w:rsidRPr="00B54C0D">
        <w:rPr>
          <w:color w:val="000000"/>
        </w:rPr>
        <w:t xml:space="preserve"> разработанных композитов</w:t>
      </w:r>
      <w:r>
        <w:rPr>
          <w:color w:val="000000"/>
        </w:rPr>
        <w:t>, а также</w:t>
      </w:r>
      <w:r w:rsidRPr="00B54C0D">
        <w:rPr>
          <w:color w:val="000000"/>
        </w:rPr>
        <w:t xml:space="preserve"> их модификации в кислых и щелочных </w:t>
      </w:r>
      <w:r>
        <w:rPr>
          <w:color w:val="000000"/>
        </w:rPr>
        <w:t>растворах</w:t>
      </w:r>
      <w:r w:rsidRPr="00B54C0D">
        <w:rPr>
          <w:color w:val="000000"/>
        </w:rPr>
        <w:t>. В частности, оценивались шероховатость поверхности, жесткость, а также гидрофильность.</w:t>
      </w:r>
    </w:p>
    <w:p w14:paraId="015F43E3" w14:textId="77777777" w:rsidR="00B54C0D" w:rsidRPr="00B54C0D" w:rsidRDefault="00B54C0D" w:rsidP="00B54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54C0D">
        <w:rPr>
          <w:color w:val="000000"/>
        </w:rPr>
        <w:t>Для данного состава композитных материалов (</w:t>
      </w:r>
      <w:proofErr w:type="spellStart"/>
      <w:r w:rsidRPr="00B54C0D">
        <w:rPr>
          <w:color w:val="000000"/>
        </w:rPr>
        <w:t>поликапролактон</w:t>
      </w:r>
      <w:proofErr w:type="spellEnd"/>
      <w:r w:rsidRPr="00B54C0D">
        <w:rPr>
          <w:color w:val="000000"/>
        </w:rPr>
        <w:t>-аморфный фосфат кальция) впервые была произведена оценка биосовместимости на основе экстракционного и контактного теста на цитотоксичность. Было определено отсутствие негативного влияния модифицированной дисперсной фазы АФК на метаболическую активность МСК и повышенная адгезия клеток на поверхности композита.</w:t>
      </w:r>
    </w:p>
    <w:p w14:paraId="11FA78C5" w14:textId="3EBC0247" w:rsidR="00B54C0D" w:rsidRDefault="00B54C0D" w:rsidP="00B54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54C0D">
        <w:rPr>
          <w:color w:val="000000"/>
        </w:rPr>
        <w:t xml:space="preserve">Таким образом, в данной работе представлены новые подходы к созданию персонализированных </w:t>
      </w:r>
      <w:proofErr w:type="spellStart"/>
      <w:r w:rsidRPr="00B54C0D">
        <w:rPr>
          <w:color w:val="000000"/>
        </w:rPr>
        <w:t>скаффолдов</w:t>
      </w:r>
      <w:proofErr w:type="spellEnd"/>
      <w:r w:rsidRPr="00B54C0D">
        <w:rPr>
          <w:color w:val="000000"/>
        </w:rPr>
        <w:t xml:space="preserve"> на основе нового поколения пористых композитных материалов, содержащих фосфаты кальция в качестве дисперсной фазы, для стимуляции остеогенеза за счет модификации поверхности и повышенной растворимости фосфатного компонента.</w:t>
      </w:r>
    </w:p>
    <w:p w14:paraId="3486C755" w14:textId="39825F19" w:rsidR="00116478" w:rsidRDefault="00B54C0D" w:rsidP="00A35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54C0D">
        <w:rPr>
          <w:i/>
          <w:iCs/>
          <w:color w:val="000000"/>
        </w:rPr>
        <w:t>Работа выполнена при финансовой поддержке Российского научного фонда, грант № 23-79-10103.</w:t>
      </w:r>
    </w:p>
    <w:p w14:paraId="29AF69AA" w14:textId="77777777" w:rsidR="00B54C0D" w:rsidRPr="00FE5B4C" w:rsidRDefault="00B54C0D" w:rsidP="00B54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37F0AC7" w14:textId="1D0963AB" w:rsidR="00B54C0D" w:rsidRPr="00A3501E" w:rsidRDefault="00A3501E" w:rsidP="00A35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023301" w:rsidRPr="00A3501E">
        <w:rPr>
          <w:color w:val="000000"/>
          <w:lang w:val="en-US"/>
        </w:rPr>
        <w:t>Golubchikov</w:t>
      </w:r>
      <w:proofErr w:type="spellEnd"/>
      <w:r w:rsidR="00023301" w:rsidRPr="00A3501E">
        <w:rPr>
          <w:color w:val="000000"/>
          <w:lang w:val="en-US"/>
        </w:rPr>
        <w:t xml:space="preserve">, D.; Evdokimov, P.; Zuev, D.; Filippov, Y.; </w:t>
      </w:r>
      <w:proofErr w:type="spellStart"/>
      <w:r w:rsidR="00023301" w:rsidRPr="00A3501E">
        <w:rPr>
          <w:color w:val="000000"/>
          <w:lang w:val="en-US"/>
        </w:rPr>
        <w:t>Shatalova</w:t>
      </w:r>
      <w:proofErr w:type="spellEnd"/>
      <w:r w:rsidR="00023301" w:rsidRPr="00A3501E">
        <w:rPr>
          <w:color w:val="000000"/>
          <w:lang w:val="en-US"/>
        </w:rPr>
        <w:t xml:space="preserve">, T.; </w:t>
      </w:r>
      <w:proofErr w:type="spellStart"/>
      <w:r w:rsidR="00023301" w:rsidRPr="00A3501E">
        <w:rPr>
          <w:color w:val="000000"/>
          <w:lang w:val="en-US"/>
        </w:rPr>
        <w:t>Putlayev</w:t>
      </w:r>
      <w:proofErr w:type="spellEnd"/>
      <w:r w:rsidR="00023301" w:rsidRPr="00A3501E">
        <w:rPr>
          <w:color w:val="000000"/>
          <w:lang w:val="en-US"/>
        </w:rPr>
        <w:t xml:space="preserve">, V. Three-Dimensional-Printed Molds from Water-Soluble Sulfate Ceramics for </w:t>
      </w:r>
      <w:proofErr w:type="spellStart"/>
      <w:r w:rsidR="00023301" w:rsidRPr="00A3501E">
        <w:rPr>
          <w:color w:val="000000"/>
          <w:lang w:val="en-US"/>
        </w:rPr>
        <w:t>Biocomposite</w:t>
      </w:r>
      <w:proofErr w:type="spellEnd"/>
      <w:r w:rsidR="00023301" w:rsidRPr="00A3501E">
        <w:rPr>
          <w:color w:val="000000"/>
          <w:lang w:val="en-US"/>
        </w:rPr>
        <w:t xml:space="preserve"> Formation through Low-Pressure Injection Molding. Materials 2023, 16, 3077.</w:t>
      </w:r>
    </w:p>
    <w:p w14:paraId="6C1F091F" w14:textId="678A32CB" w:rsidR="00023301" w:rsidRDefault="00A3501E" w:rsidP="00A35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023301" w:rsidRPr="00A3501E">
        <w:rPr>
          <w:color w:val="000000"/>
          <w:lang w:val="en-US"/>
        </w:rPr>
        <w:t xml:space="preserve">Zuev, D.M., </w:t>
      </w:r>
      <w:proofErr w:type="spellStart"/>
      <w:r w:rsidR="00023301" w:rsidRPr="00A3501E">
        <w:rPr>
          <w:color w:val="000000"/>
          <w:lang w:val="en-US"/>
        </w:rPr>
        <w:t>Golubchikov</w:t>
      </w:r>
      <w:proofErr w:type="spellEnd"/>
      <w:r w:rsidR="00023301" w:rsidRPr="00A3501E">
        <w:rPr>
          <w:color w:val="000000"/>
          <w:lang w:val="en-US"/>
        </w:rPr>
        <w:t xml:space="preserve">, D.O., Evdokimov, P.V. et al. Synthesis of Amorphous Calcium Phosphate Powders for Production of </w:t>
      </w:r>
      <w:proofErr w:type="spellStart"/>
      <w:r w:rsidR="00023301" w:rsidRPr="00A3501E">
        <w:rPr>
          <w:color w:val="000000"/>
          <w:lang w:val="en-US"/>
        </w:rPr>
        <w:t>Bioceramics</w:t>
      </w:r>
      <w:proofErr w:type="spellEnd"/>
      <w:r w:rsidR="00023301" w:rsidRPr="00A3501E">
        <w:rPr>
          <w:color w:val="000000"/>
          <w:lang w:val="en-US"/>
        </w:rPr>
        <w:t xml:space="preserve"> and Composites by 3D Printing. Russ. J. </w:t>
      </w:r>
      <w:proofErr w:type="spellStart"/>
      <w:r w:rsidR="00023301" w:rsidRPr="00A3501E">
        <w:rPr>
          <w:color w:val="000000"/>
          <w:lang w:val="en-US"/>
        </w:rPr>
        <w:t>Inorg</w:t>
      </w:r>
      <w:proofErr w:type="spellEnd"/>
      <w:r w:rsidR="00023301" w:rsidRPr="00A3501E">
        <w:rPr>
          <w:color w:val="000000"/>
          <w:lang w:val="en-US"/>
        </w:rPr>
        <w:t>. Chem. 2022, 67, 940–951.</w:t>
      </w:r>
    </w:p>
    <w:sectPr w:rsidR="0002330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43B1B"/>
    <w:multiLevelType w:val="hybridMultilevel"/>
    <w:tmpl w:val="CE622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0"/>
  </w:num>
  <w:num w:numId="5" w16cid:durableId="2021077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330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0B82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63E8E"/>
    <w:rsid w:val="004A26A3"/>
    <w:rsid w:val="004F0EDF"/>
    <w:rsid w:val="00522BF1"/>
    <w:rsid w:val="00590166"/>
    <w:rsid w:val="005D022B"/>
    <w:rsid w:val="005E5BE9"/>
    <w:rsid w:val="0069427D"/>
    <w:rsid w:val="006D0DA3"/>
    <w:rsid w:val="006F7A19"/>
    <w:rsid w:val="007213E1"/>
    <w:rsid w:val="00775389"/>
    <w:rsid w:val="00797838"/>
    <w:rsid w:val="007C36D8"/>
    <w:rsid w:val="007F2744"/>
    <w:rsid w:val="008730BB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501E"/>
    <w:rsid w:val="00AD7380"/>
    <w:rsid w:val="00AE550E"/>
    <w:rsid w:val="00B314AF"/>
    <w:rsid w:val="00B54C0D"/>
    <w:rsid w:val="00BF36F8"/>
    <w:rsid w:val="00BF4622"/>
    <w:rsid w:val="00C844E2"/>
    <w:rsid w:val="00C93881"/>
    <w:rsid w:val="00CD00B1"/>
    <w:rsid w:val="00D22306"/>
    <w:rsid w:val="00D34F5B"/>
    <w:rsid w:val="00D42542"/>
    <w:rsid w:val="00D8121C"/>
    <w:rsid w:val="00E22189"/>
    <w:rsid w:val="00E74069"/>
    <w:rsid w:val="00E81D35"/>
    <w:rsid w:val="00E9281B"/>
    <w:rsid w:val="00EB1F49"/>
    <w:rsid w:val="00F367B2"/>
    <w:rsid w:val="00F865B3"/>
    <w:rsid w:val="00FB1509"/>
    <w:rsid w:val="00FE5B4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lubchikovdo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2025-03-21T23:15:00Z</dcterms:created>
  <dcterms:modified xsi:type="dcterms:W3CDTF">2025-03-21T23:15:00Z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