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90EF" w14:textId="77777777" w:rsidR="003628C8" w:rsidRDefault="00000000" w:rsidP="00AF0855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Синтез и фотолюминесцентные свойства </w:t>
      </w:r>
      <w:proofErr w:type="spellStart"/>
      <w:r>
        <w:rPr>
          <w:rFonts w:eastAsia="Times New Roman"/>
          <w:b/>
          <w:color w:val="000000"/>
        </w:rPr>
        <w:t>бромовисмутатов</w:t>
      </w:r>
      <w:proofErr w:type="spellEnd"/>
      <w:r>
        <w:rPr>
          <w:rFonts w:eastAsia="Times New Roman"/>
          <w:b/>
          <w:color w:val="000000"/>
        </w:rPr>
        <w:t xml:space="preserve"> со структурой двойного перовскита</w:t>
      </w:r>
    </w:p>
    <w:p w14:paraId="73197F53" w14:textId="77777777" w:rsidR="003628C8" w:rsidRPr="00AF0855" w:rsidRDefault="00000000">
      <w:pPr>
        <w:shd w:val="clear" w:color="auto" w:fill="FFFFFF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AF0855">
        <w:rPr>
          <w:rFonts w:eastAsia="Times New Roman"/>
          <w:b/>
          <w:bCs/>
          <w:i/>
          <w:iCs/>
        </w:rPr>
        <w:t xml:space="preserve">Чжу </w:t>
      </w:r>
      <w:proofErr w:type="spellStart"/>
      <w:r w:rsidRPr="00AF0855">
        <w:rPr>
          <w:rFonts w:eastAsia="Times New Roman"/>
          <w:b/>
          <w:bCs/>
          <w:i/>
          <w:iCs/>
        </w:rPr>
        <w:t>Чжилинь</w:t>
      </w:r>
      <w:proofErr w:type="spellEnd"/>
      <w:r w:rsidRPr="00AF0855">
        <w:rPr>
          <w:rFonts w:eastAsia="Times New Roman"/>
          <w:b/>
          <w:bCs/>
          <w:i/>
          <w:iCs/>
        </w:rPr>
        <w:t>, Камилов Р.Х.</w:t>
      </w:r>
    </w:p>
    <w:p w14:paraId="4F6DCF7D" w14:textId="77777777" w:rsidR="00AF0855" w:rsidRDefault="00AF0855" w:rsidP="00AF085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7072B792" w14:textId="072AE03E" w:rsidR="003628C8" w:rsidRDefault="00000000" w:rsidP="00AF085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</w:t>
      </w:r>
      <w:r w:rsidR="00AF0855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637FFBA7" w14:textId="77777777" w:rsidR="003628C8" w:rsidRDefault="00000000">
      <w:pPr>
        <w:jc w:val="center"/>
      </w:pPr>
      <w:r>
        <w:rPr>
          <w:i/>
          <w:color w:val="000000"/>
        </w:rPr>
        <w:t xml:space="preserve">E-mail: </w:t>
      </w:r>
      <w:proofErr w:type="spellStart"/>
      <w:r>
        <w:rPr>
          <w:i/>
          <w:color w:val="000000"/>
          <w:u w:val="single"/>
          <w:lang w:val="en-US"/>
        </w:rPr>
        <w:t>Zzl</w:t>
      </w:r>
      <w:proofErr w:type="spellEnd"/>
      <w:r>
        <w:rPr>
          <w:i/>
          <w:color w:val="000000"/>
          <w:u w:val="single"/>
        </w:rPr>
        <w:t>2295869529@163.</w:t>
      </w:r>
      <w:r>
        <w:rPr>
          <w:i/>
          <w:color w:val="000000"/>
          <w:u w:val="single"/>
          <w:lang w:val="en-US"/>
        </w:rPr>
        <w:t>com</w:t>
      </w:r>
    </w:p>
    <w:p w14:paraId="4A21369C" w14:textId="273EF0F1" w:rsidR="003628C8" w:rsidRPr="00AF0855" w:rsidRDefault="00000000" w:rsidP="00AF0855">
      <w:pPr>
        <w:ind w:firstLineChars="200" w:firstLine="480"/>
        <w:jc w:val="both"/>
        <w:rPr>
          <w:color w:val="000000"/>
          <w:lang w:eastAsia="zh-CN"/>
        </w:rPr>
      </w:pPr>
      <w:bookmarkStart w:id="0" w:name="OLE_LINK5"/>
      <w:r>
        <w:t xml:space="preserve">Общую химическую формулу двойных </w:t>
      </w:r>
      <w:proofErr w:type="spellStart"/>
      <w:r>
        <w:t>галогенидных</w:t>
      </w:r>
      <w:proofErr w:type="spellEnd"/>
      <w:r>
        <w:t xml:space="preserve"> перовскитов можно представить как А</w:t>
      </w:r>
      <w:r>
        <w:rPr>
          <w:vertAlign w:val="subscript"/>
        </w:rPr>
        <w:t>2</w:t>
      </w:r>
      <w:r>
        <w:t>В</w:t>
      </w:r>
      <w:r>
        <w:rPr>
          <w:vertAlign w:val="superscript"/>
        </w:rPr>
        <w:t>+</w:t>
      </w:r>
      <w:r>
        <w:t>B</w:t>
      </w:r>
      <w:r>
        <w:rPr>
          <w:vertAlign w:val="superscript"/>
        </w:rPr>
        <w:t>3+</w:t>
      </w:r>
      <w:r>
        <w:t>Х</w:t>
      </w:r>
      <w:r>
        <w:rPr>
          <w:vertAlign w:val="subscript"/>
        </w:rPr>
        <w:t>6</w:t>
      </w:r>
      <w:r>
        <w:t>, где A - небольшой</w:t>
      </w:r>
      <w:r>
        <w:rPr>
          <w:rFonts w:hint="eastAsia"/>
          <w:lang w:eastAsia="zh-CN"/>
        </w:rPr>
        <w:t xml:space="preserve"> </w:t>
      </w:r>
      <w:r>
        <w:t xml:space="preserve">органический или неорганический катион в </w:t>
      </w:r>
      <w:proofErr w:type="spellStart"/>
      <w:r>
        <w:t>кубооктаэдрической</w:t>
      </w:r>
      <w:proofErr w:type="spellEnd"/>
      <w:r>
        <w:t xml:space="preserve"> позиции, B - катионы металлов в октаэдрических позициях, а X - галогенид-анион.</w:t>
      </w:r>
      <w:r>
        <w:rPr>
          <w:lang w:eastAsia="zh-CN"/>
        </w:rPr>
        <w:t xml:space="preserve"> Такие</w:t>
      </w:r>
      <w:r>
        <w:t xml:space="preserve"> соединения имеют кубическую структуру двойного перовскита с пространственной группой Fm3m.</w:t>
      </w:r>
      <w:r>
        <w:rPr>
          <w:rFonts w:hint="eastAsia"/>
          <w:lang w:eastAsia="zh-CN"/>
        </w:rPr>
        <w:t xml:space="preserve"> </w:t>
      </w:r>
      <w:r>
        <w:t>Среди возможных составов А</w:t>
      </w:r>
      <w:r>
        <w:rPr>
          <w:vertAlign w:val="subscript"/>
        </w:rPr>
        <w:t>2</w:t>
      </w:r>
      <w:r>
        <w:t>В</w:t>
      </w:r>
      <w:r>
        <w:rPr>
          <w:vertAlign w:val="superscript"/>
        </w:rPr>
        <w:t>+</w:t>
      </w:r>
      <w:r>
        <w:t>B</w:t>
      </w:r>
      <w:r>
        <w:rPr>
          <w:vertAlign w:val="superscript"/>
        </w:rPr>
        <w:t>3+</w:t>
      </w:r>
      <w:r>
        <w:t>Х</w:t>
      </w:r>
      <w:r>
        <w:rPr>
          <w:vertAlign w:val="subscript"/>
        </w:rPr>
        <w:t>6</w:t>
      </w:r>
      <w:r>
        <w:t xml:space="preserve"> соединение Cs</w:t>
      </w:r>
      <w:r>
        <w:rPr>
          <w:vertAlign w:val="subscript"/>
        </w:rPr>
        <w:t>2</w:t>
      </w:r>
      <w:r>
        <w:t>AgBiBr</w:t>
      </w:r>
      <w:r>
        <w:rPr>
          <w:vertAlign w:val="subscript"/>
        </w:rPr>
        <w:t>6</w:t>
      </w:r>
      <w:r>
        <w:t xml:space="preserve"> является одним из немногих успешно синтезированных, стабильных при комнатной температуре и относительно нетоксичных двойных перовскитов.</w:t>
      </w:r>
      <w:r>
        <w:rPr>
          <w:lang w:eastAsia="zh-CN"/>
        </w:rPr>
        <w:t xml:space="preserve"> По данным фотолюминесцентного анализа, запрещенная величина соединения </w:t>
      </w:r>
      <w:r>
        <w:t>Cs</w:t>
      </w:r>
      <w:r>
        <w:rPr>
          <w:vertAlign w:val="subscript"/>
        </w:rPr>
        <w:t>2</w:t>
      </w:r>
      <w:r>
        <w:t>AgBiBr</w:t>
      </w:r>
      <w:r>
        <w:rPr>
          <w:vertAlign w:val="subscript"/>
        </w:rPr>
        <w:t>6</w:t>
      </w:r>
      <w:r>
        <w:rPr>
          <w:lang w:eastAsia="zh-CN"/>
        </w:rPr>
        <w:t xml:space="preserve"> составляет 1,95 эВ.</w:t>
      </w:r>
      <w:r>
        <w:rPr>
          <w:rFonts w:eastAsia="Microsoft YaHei"/>
          <w:lang w:eastAsia="zh-CN"/>
        </w:rPr>
        <w:t xml:space="preserve"> Несмотря на термическую и </w:t>
      </w:r>
      <w:proofErr w:type="spellStart"/>
      <w:r>
        <w:rPr>
          <w:rFonts w:eastAsia="Microsoft YaHei"/>
          <w:lang w:eastAsia="zh-CN"/>
        </w:rPr>
        <w:t>фотостабильность</w:t>
      </w:r>
      <w:proofErr w:type="spellEnd"/>
      <w:r>
        <w:rPr>
          <w:rFonts w:eastAsia="Microsoft YaHei"/>
          <w:lang w:eastAsia="zh-CN"/>
        </w:rPr>
        <w:t xml:space="preserve"> этого соединения непрямая запрещенная зона ограничивают его применение фотоэлектрических устройствах. Чтобы решить эту проблему, были предприняты попытки регулировать ширину запрещенной зоны путем легирования материала</w:t>
      </w:r>
      <w:r>
        <w:rPr>
          <w:rFonts w:eastAsia="Microsoft YaHei"/>
        </w:rPr>
        <w:t xml:space="preserve"> [1].</w:t>
      </w:r>
      <w:bookmarkStart w:id="1" w:name="OLE_LINK6"/>
      <w:bookmarkEnd w:id="0"/>
      <w:r w:rsidR="00366D91">
        <w:rPr>
          <w:rFonts w:eastAsia="Microsoft YaHei"/>
        </w:rPr>
        <w:t xml:space="preserve"> </w:t>
      </w:r>
      <w:r w:rsidRPr="00AF0855">
        <w:rPr>
          <w:rFonts w:eastAsia="Times New Roman"/>
          <w:color w:val="000000"/>
        </w:rPr>
        <w:t xml:space="preserve">В исследовании </w:t>
      </w:r>
      <w:r w:rsidRPr="00AF0855">
        <w:rPr>
          <w:rFonts w:eastAsia="Microsoft YaHei"/>
          <w:color w:val="000000"/>
        </w:rPr>
        <w:t>[</w:t>
      </w:r>
      <w:r w:rsidRPr="00AF0855">
        <w:rPr>
          <w:rFonts w:eastAsia="Microsoft YaHei" w:hint="eastAsia"/>
          <w:color w:val="000000"/>
          <w:lang w:eastAsia="zh-CN"/>
        </w:rPr>
        <w:t>2</w:t>
      </w:r>
      <w:r w:rsidRPr="00AF0855">
        <w:rPr>
          <w:rFonts w:eastAsia="Microsoft YaHei"/>
          <w:color w:val="000000"/>
        </w:rPr>
        <w:t>]</w:t>
      </w:r>
      <w:r w:rsidRPr="00AF0855">
        <w:rPr>
          <w:rFonts w:eastAsia="Microsoft YaHei"/>
          <w:color w:val="000000"/>
          <w:lang w:eastAsia="zh-CN"/>
        </w:rPr>
        <w:t xml:space="preserve"> двойного </w:t>
      </w:r>
      <w:proofErr w:type="spellStart"/>
      <w:r w:rsidRPr="00AF0855">
        <w:rPr>
          <w:rFonts w:eastAsia="Microsoft YaHei"/>
          <w:color w:val="000000"/>
          <w:lang w:eastAsia="zh-CN"/>
        </w:rPr>
        <w:t>галогенидного</w:t>
      </w:r>
      <w:proofErr w:type="spellEnd"/>
      <w:r w:rsidRPr="00AF0855">
        <w:rPr>
          <w:rFonts w:eastAsia="Microsoft YaHei"/>
          <w:color w:val="000000"/>
          <w:lang w:eastAsia="zh-CN"/>
        </w:rPr>
        <w:t xml:space="preserve"> перовскита </w:t>
      </w:r>
      <w:r w:rsidRPr="00AF0855">
        <w:rPr>
          <w:rFonts w:eastAsia="Times New Roman"/>
          <w:color w:val="000000"/>
        </w:rPr>
        <w:t>Cs</w:t>
      </w:r>
      <w:r w:rsidRPr="00AF0855">
        <w:rPr>
          <w:rFonts w:eastAsia="Times New Roman"/>
          <w:color w:val="000000"/>
          <w:vertAlign w:val="subscript"/>
        </w:rPr>
        <w:t>2</w:t>
      </w:r>
      <w:r w:rsidRPr="00AF0855">
        <w:rPr>
          <w:rFonts w:eastAsia="Times New Roman"/>
          <w:color w:val="000000"/>
        </w:rPr>
        <w:t>AgBi</w:t>
      </w:r>
      <w:r w:rsidRPr="00AF0855">
        <w:rPr>
          <w:rFonts w:eastAsia="Times New Roman"/>
          <w:color w:val="000000"/>
          <w:vertAlign w:val="subscript"/>
        </w:rPr>
        <w:t>0,125</w:t>
      </w:r>
      <w:r w:rsidRPr="00AF0855">
        <w:rPr>
          <w:rFonts w:eastAsia="Times New Roman"/>
          <w:color w:val="000000"/>
        </w:rPr>
        <w:t>In</w:t>
      </w:r>
      <w:r w:rsidRPr="00AF0855">
        <w:rPr>
          <w:rFonts w:eastAsia="Times New Roman"/>
          <w:color w:val="000000"/>
          <w:vertAlign w:val="subscript"/>
        </w:rPr>
        <w:t>0,875</w:t>
      </w:r>
      <w:r w:rsidRPr="00AF0855">
        <w:rPr>
          <w:rFonts w:eastAsia="Times New Roman"/>
          <w:color w:val="000000"/>
        </w:rPr>
        <w:t>Cl</w:t>
      </w:r>
      <w:r w:rsidRPr="00AF0855">
        <w:rPr>
          <w:rFonts w:eastAsia="Times New Roman"/>
          <w:color w:val="000000"/>
          <w:vertAlign w:val="subscript"/>
        </w:rPr>
        <w:t xml:space="preserve">6 </w:t>
      </w:r>
      <w:r w:rsidRPr="00AF0855">
        <w:rPr>
          <w:rFonts w:eastAsia="Times New Roman"/>
          <w:color w:val="000000"/>
        </w:rPr>
        <w:t xml:space="preserve">анализ спектров фотолюминесценции показал, что нарушается запрещенный по четности переход и сохраняется структура с прямой запрещенной зоной, имеет излучение теплого белого света с квантовой эффективностью фотолюминесценции (PLQE) 70,3%, что намного выше, чем PLQE известных свинцовых </w:t>
      </w:r>
      <w:proofErr w:type="spellStart"/>
      <w:r w:rsidRPr="00AF0855">
        <w:rPr>
          <w:rFonts w:eastAsia="Times New Roman"/>
          <w:color w:val="000000"/>
        </w:rPr>
        <w:t>перовскитных</w:t>
      </w:r>
      <w:proofErr w:type="spellEnd"/>
      <w:r w:rsidRPr="00AF0855">
        <w:rPr>
          <w:rFonts w:eastAsia="Times New Roman"/>
          <w:color w:val="000000"/>
        </w:rPr>
        <w:t xml:space="preserve"> материалов.</w:t>
      </w:r>
      <w:r w:rsidRPr="00AF0855">
        <w:rPr>
          <w:color w:val="000000"/>
          <w:lang w:eastAsia="zh-CN"/>
        </w:rPr>
        <w:t xml:space="preserve"> </w:t>
      </w:r>
      <w:r w:rsidRPr="00AF0855">
        <w:rPr>
          <w:b/>
          <w:bCs/>
          <w:color w:val="000000"/>
          <w:lang w:eastAsia="zh-CN"/>
        </w:rPr>
        <w:t>Целью научной работы</w:t>
      </w:r>
      <w:r w:rsidRPr="00AF0855">
        <w:rPr>
          <w:color w:val="000000"/>
          <w:lang w:eastAsia="zh-CN"/>
        </w:rPr>
        <w:t xml:space="preserve"> являлся синтез и изучение</w:t>
      </w:r>
      <w:r w:rsidRPr="00AF0855">
        <w:rPr>
          <w:rFonts w:hint="eastAsia"/>
          <w:color w:val="000000"/>
          <w:lang w:eastAsia="zh-CN"/>
        </w:rPr>
        <w:t xml:space="preserve"> </w:t>
      </w:r>
      <w:r w:rsidRPr="00AF0855">
        <w:rPr>
          <w:color w:val="000000"/>
        </w:rPr>
        <w:t xml:space="preserve">серии </w:t>
      </w:r>
      <w:proofErr w:type="spellStart"/>
      <w:r w:rsidRPr="00AF0855">
        <w:rPr>
          <w:color w:val="000000"/>
        </w:rPr>
        <w:t>фотоабсорбционных</w:t>
      </w:r>
      <w:proofErr w:type="spellEnd"/>
      <w:r w:rsidRPr="00AF0855">
        <w:rPr>
          <w:color w:val="000000"/>
        </w:rPr>
        <w:t xml:space="preserve"> и </w:t>
      </w:r>
      <w:r w:rsidRPr="00AF0855">
        <w:rPr>
          <w:rFonts w:eastAsia="Times New Roman"/>
          <w:color w:val="000000"/>
        </w:rPr>
        <w:t>фотолюминесцентных свойств с</w:t>
      </w:r>
      <w:r w:rsidRPr="00AF0855">
        <w:rPr>
          <w:color w:val="000000"/>
        </w:rPr>
        <w:t xml:space="preserve">ложных галогенидов </w:t>
      </w:r>
      <w:bookmarkStart w:id="2" w:name="OLE_LINK1"/>
      <w:r w:rsidRPr="00AF0855">
        <w:rPr>
          <w:color w:val="000000"/>
        </w:rPr>
        <w:t>общего состава Cs</w:t>
      </w:r>
      <w:r w:rsidRPr="00AF0855">
        <w:rPr>
          <w:color w:val="000000"/>
          <w:vertAlign w:val="subscript"/>
        </w:rPr>
        <w:t>2</w:t>
      </w:r>
      <w:r w:rsidRPr="00AF0855">
        <w:rPr>
          <w:color w:val="000000"/>
        </w:rPr>
        <w:t>AgBi</w:t>
      </w:r>
      <w:r w:rsidRPr="00AF0855">
        <w:rPr>
          <w:color w:val="000000"/>
          <w:vertAlign w:val="subscript"/>
        </w:rPr>
        <w:t>1-x</w:t>
      </w:r>
      <w:r w:rsidRPr="00AF0855">
        <w:rPr>
          <w:color w:val="000000"/>
        </w:rPr>
        <w:t>Sb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6</w:t>
      </w:r>
      <w:bookmarkEnd w:id="2"/>
      <w:r w:rsidRPr="00AF0855">
        <w:rPr>
          <w:color w:val="000000"/>
        </w:rPr>
        <w:t>, Cs</w:t>
      </w:r>
      <w:r w:rsidRPr="00AF0855">
        <w:rPr>
          <w:color w:val="000000"/>
          <w:vertAlign w:val="subscript"/>
        </w:rPr>
        <w:t>2</w:t>
      </w:r>
      <w:r w:rsidRPr="00AF0855">
        <w:rPr>
          <w:color w:val="000000"/>
        </w:rPr>
        <w:t>AgBi</w:t>
      </w:r>
      <w:r w:rsidRPr="00AF0855">
        <w:rPr>
          <w:color w:val="000000"/>
          <w:vertAlign w:val="subscript"/>
        </w:rPr>
        <w:t>1-x</w:t>
      </w:r>
      <w:r w:rsidRPr="00AF0855">
        <w:rPr>
          <w:color w:val="000000"/>
        </w:rPr>
        <w:t>In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6</w:t>
      </w:r>
      <w:r w:rsidRPr="00AF0855">
        <w:rPr>
          <w:color w:val="000000"/>
        </w:rPr>
        <w:t>, Cs</w:t>
      </w:r>
      <w:r w:rsidRPr="00AF0855">
        <w:rPr>
          <w:color w:val="000000"/>
          <w:vertAlign w:val="subscript"/>
        </w:rPr>
        <w:t>2</w:t>
      </w:r>
      <w:r w:rsidRPr="00AF0855">
        <w:rPr>
          <w:color w:val="000000"/>
        </w:rPr>
        <w:t>AgBi</w:t>
      </w:r>
      <w:r w:rsidRPr="00AF0855">
        <w:rPr>
          <w:color w:val="000000"/>
          <w:vertAlign w:val="subscript"/>
        </w:rPr>
        <w:t>1-</w:t>
      </w:r>
      <w:r w:rsidRPr="00AF0855">
        <w:rPr>
          <w:rFonts w:hint="eastAsia"/>
          <w:color w:val="000000"/>
          <w:vertAlign w:val="subscript"/>
          <w:lang w:eastAsia="zh-CN"/>
        </w:rPr>
        <w:t>2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Sb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In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6</w:t>
      </w:r>
      <w:r w:rsidRPr="00AF0855">
        <w:rPr>
          <w:color w:val="000000"/>
        </w:rPr>
        <w:t>, Cs</w:t>
      </w:r>
      <w:r w:rsidRPr="00AF0855">
        <w:rPr>
          <w:color w:val="000000"/>
          <w:vertAlign w:val="subscript"/>
        </w:rPr>
        <w:t>3</w:t>
      </w:r>
      <w:r w:rsidRPr="00AF0855">
        <w:rPr>
          <w:color w:val="000000"/>
        </w:rPr>
        <w:t>Bi</w:t>
      </w:r>
      <w:r w:rsidRPr="00AF0855">
        <w:rPr>
          <w:color w:val="000000"/>
          <w:vertAlign w:val="subscript"/>
        </w:rPr>
        <w:t>2-х</w:t>
      </w:r>
      <w:proofErr w:type="spellStart"/>
      <w:r w:rsidRPr="00AF0855">
        <w:rPr>
          <w:color w:val="000000"/>
          <w:lang w:val="en-US"/>
        </w:rPr>
        <w:t>Sb</w:t>
      </w:r>
      <w:r w:rsidRPr="00AF0855">
        <w:rPr>
          <w:color w:val="000000"/>
          <w:vertAlign w:val="subscript"/>
          <w:lang w:val="en-US"/>
        </w:rPr>
        <w:t>x</w:t>
      </w:r>
      <w:proofErr w:type="spellEnd"/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9</w:t>
      </w:r>
      <w:r w:rsidRPr="00AF0855">
        <w:rPr>
          <w:color w:val="000000"/>
          <w:lang w:eastAsia="zh-CN"/>
        </w:rPr>
        <w:t xml:space="preserve">, </w:t>
      </w:r>
      <w:r w:rsidRPr="00AF0855">
        <w:rPr>
          <w:color w:val="000000"/>
        </w:rPr>
        <w:t>Cs</w:t>
      </w:r>
      <w:r w:rsidRPr="00AF0855">
        <w:rPr>
          <w:color w:val="000000"/>
          <w:vertAlign w:val="subscript"/>
        </w:rPr>
        <w:t>3</w:t>
      </w:r>
      <w:r w:rsidRPr="00AF0855">
        <w:rPr>
          <w:color w:val="000000"/>
        </w:rPr>
        <w:t>Bi</w:t>
      </w:r>
      <w:r w:rsidRPr="00AF0855">
        <w:rPr>
          <w:color w:val="000000"/>
          <w:vertAlign w:val="subscript"/>
        </w:rPr>
        <w:t>2-</w:t>
      </w:r>
      <w:proofErr w:type="spellStart"/>
      <w:r w:rsidRPr="00AF0855">
        <w:rPr>
          <w:color w:val="000000"/>
          <w:vertAlign w:val="subscript"/>
          <w:lang w:val="en-US"/>
        </w:rPr>
        <w:t>x</w:t>
      </w:r>
      <w:r w:rsidRPr="00AF0855">
        <w:rPr>
          <w:color w:val="000000"/>
          <w:lang w:val="en-US"/>
        </w:rPr>
        <w:t>In</w:t>
      </w:r>
      <w:r w:rsidRPr="00AF0855">
        <w:rPr>
          <w:color w:val="000000"/>
          <w:vertAlign w:val="subscript"/>
          <w:lang w:val="en-US"/>
        </w:rPr>
        <w:t>x</w:t>
      </w:r>
      <w:proofErr w:type="spellEnd"/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9</w:t>
      </w:r>
      <w:r w:rsidRPr="00AF0855">
        <w:rPr>
          <w:color w:val="000000"/>
          <w:vertAlign w:val="subscript"/>
          <w:lang w:eastAsia="zh-CN"/>
        </w:rPr>
        <w:t xml:space="preserve"> </w:t>
      </w:r>
      <w:r w:rsidRPr="00AF0855">
        <w:rPr>
          <w:color w:val="000000"/>
          <w:lang w:eastAsia="zh-CN"/>
        </w:rPr>
        <w:t xml:space="preserve">и </w:t>
      </w:r>
      <w:r w:rsidRPr="00AF0855">
        <w:rPr>
          <w:color w:val="000000"/>
          <w:lang w:val="en-US" w:eastAsia="zh-CN"/>
        </w:rPr>
        <w:t>Cs</w:t>
      </w:r>
      <w:r w:rsidRPr="00AF0855">
        <w:rPr>
          <w:color w:val="000000"/>
          <w:vertAlign w:val="subscript"/>
          <w:lang w:eastAsia="zh-CN"/>
        </w:rPr>
        <w:t>3</w:t>
      </w:r>
      <w:r w:rsidRPr="00AF0855">
        <w:rPr>
          <w:color w:val="000000"/>
          <w:lang w:val="en-US" w:eastAsia="zh-CN"/>
        </w:rPr>
        <w:t>Bi</w:t>
      </w:r>
      <w:r w:rsidRPr="00AF0855">
        <w:rPr>
          <w:color w:val="000000"/>
          <w:vertAlign w:val="subscript"/>
          <w:lang w:eastAsia="zh-CN"/>
        </w:rPr>
        <w:t>2-</w:t>
      </w:r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vertAlign w:val="subscript"/>
          <w:lang w:eastAsia="zh-CN"/>
        </w:rPr>
        <w:t>-</w:t>
      </w:r>
      <w:proofErr w:type="spellStart"/>
      <w:r w:rsidRPr="00AF0855">
        <w:rPr>
          <w:color w:val="000000"/>
          <w:vertAlign w:val="subscript"/>
          <w:lang w:val="en-US" w:eastAsia="zh-CN"/>
        </w:rPr>
        <w:t>y</w:t>
      </w:r>
      <w:r w:rsidRPr="00AF0855">
        <w:rPr>
          <w:color w:val="000000"/>
          <w:lang w:val="en-US" w:eastAsia="zh-CN"/>
        </w:rPr>
        <w:t>In</w:t>
      </w:r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lang w:val="en-US" w:eastAsia="zh-CN"/>
        </w:rPr>
        <w:t>Sb</w:t>
      </w:r>
      <w:r w:rsidRPr="00AF0855">
        <w:rPr>
          <w:color w:val="000000"/>
          <w:vertAlign w:val="subscript"/>
          <w:lang w:val="en-US" w:eastAsia="zh-CN"/>
        </w:rPr>
        <w:t>y</w:t>
      </w:r>
      <w:r w:rsidRPr="00AF0855">
        <w:rPr>
          <w:color w:val="000000"/>
          <w:lang w:val="en-US" w:eastAsia="zh-CN"/>
        </w:rPr>
        <w:t>Br</w:t>
      </w:r>
      <w:proofErr w:type="spellEnd"/>
      <w:r w:rsidRPr="00AF0855">
        <w:rPr>
          <w:color w:val="000000"/>
          <w:vertAlign w:val="subscript"/>
          <w:lang w:eastAsia="zh-CN"/>
        </w:rPr>
        <w:t>9</w:t>
      </w:r>
      <w:r w:rsidRPr="00AF0855">
        <w:rPr>
          <w:color w:val="000000"/>
          <w:lang w:eastAsia="zh-CN"/>
        </w:rPr>
        <w:t>.</w:t>
      </w:r>
    </w:p>
    <w:bookmarkEnd w:id="1"/>
    <w:p w14:paraId="203C2760" w14:textId="403D1455" w:rsidR="00AF0855" w:rsidRDefault="00000000" w:rsidP="00AF0855">
      <w:pPr>
        <w:ind w:firstLineChars="200" w:firstLine="480"/>
        <w:jc w:val="both"/>
        <w:rPr>
          <w:lang w:eastAsia="zh-CN"/>
        </w:rPr>
      </w:pPr>
      <w:r w:rsidRPr="00AF0855">
        <w:rPr>
          <w:color w:val="000000"/>
        </w:rPr>
        <w:t xml:space="preserve">Образцы двойного перовскита теоретического состава </w:t>
      </w:r>
      <w:r w:rsidRPr="00AF0855">
        <w:rPr>
          <w:color w:val="000000"/>
          <w:lang w:val="en-US"/>
        </w:rPr>
        <w:t>Cs</w:t>
      </w:r>
      <w:r w:rsidRPr="00AF0855">
        <w:rPr>
          <w:color w:val="000000"/>
          <w:vertAlign w:val="subscript"/>
        </w:rPr>
        <w:t>2</w:t>
      </w:r>
      <w:proofErr w:type="spellStart"/>
      <w:r w:rsidRPr="00AF0855">
        <w:rPr>
          <w:color w:val="000000"/>
          <w:lang w:val="en-US"/>
        </w:rPr>
        <w:t>AgBi</w:t>
      </w:r>
      <w:proofErr w:type="spellEnd"/>
      <w:r w:rsidRPr="00AF0855">
        <w:rPr>
          <w:color w:val="000000"/>
          <w:vertAlign w:val="subscript"/>
        </w:rPr>
        <w:t>1-</w:t>
      </w:r>
      <w:proofErr w:type="spellStart"/>
      <w:r w:rsidRPr="00AF0855">
        <w:rPr>
          <w:color w:val="000000"/>
          <w:vertAlign w:val="subscript"/>
          <w:lang w:val="en-US"/>
        </w:rPr>
        <w:t>x</w:t>
      </w:r>
      <w:r w:rsidRPr="00AF0855">
        <w:rPr>
          <w:color w:val="000000"/>
          <w:lang w:val="en-US"/>
        </w:rPr>
        <w:t>Sb</w:t>
      </w:r>
      <w:r w:rsidRPr="00AF0855">
        <w:rPr>
          <w:color w:val="000000"/>
          <w:vertAlign w:val="subscript"/>
          <w:lang w:val="en-US"/>
        </w:rPr>
        <w:t>x</w:t>
      </w:r>
      <w:r w:rsidRPr="00AF0855">
        <w:rPr>
          <w:color w:val="000000"/>
          <w:lang w:val="en-US"/>
        </w:rPr>
        <w:t>Br</w:t>
      </w:r>
      <w:proofErr w:type="spellEnd"/>
      <w:r w:rsidRPr="00AF0855">
        <w:rPr>
          <w:color w:val="000000"/>
          <w:vertAlign w:val="subscript"/>
        </w:rPr>
        <w:t>6</w:t>
      </w:r>
      <w:r w:rsidRPr="00AF0855">
        <w:rPr>
          <w:color w:val="000000"/>
        </w:rPr>
        <w:t xml:space="preserve">, </w:t>
      </w:r>
      <w:r w:rsidRPr="00AF0855">
        <w:rPr>
          <w:color w:val="000000"/>
          <w:lang w:val="en-US" w:eastAsia="zh-CN"/>
        </w:rPr>
        <w:t>Cs</w:t>
      </w:r>
      <w:r w:rsidRPr="00AF0855">
        <w:rPr>
          <w:color w:val="000000"/>
          <w:vertAlign w:val="subscript"/>
          <w:lang w:eastAsia="zh-CN"/>
        </w:rPr>
        <w:t>2</w:t>
      </w:r>
      <w:proofErr w:type="spellStart"/>
      <w:r w:rsidRPr="00AF0855">
        <w:rPr>
          <w:color w:val="000000"/>
          <w:lang w:val="en-US" w:eastAsia="zh-CN"/>
        </w:rPr>
        <w:t>AgBi</w:t>
      </w:r>
      <w:proofErr w:type="spellEnd"/>
      <w:r w:rsidRPr="00AF0855">
        <w:rPr>
          <w:color w:val="000000"/>
          <w:vertAlign w:val="subscript"/>
          <w:lang w:eastAsia="zh-CN"/>
        </w:rPr>
        <w:t>1-</w:t>
      </w:r>
      <w:proofErr w:type="spellStart"/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lang w:val="en-US" w:eastAsia="zh-CN"/>
        </w:rPr>
        <w:t>In</w:t>
      </w:r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lang w:val="en-US" w:eastAsia="zh-CN"/>
        </w:rPr>
        <w:t>Br</w:t>
      </w:r>
      <w:proofErr w:type="spellEnd"/>
      <w:r w:rsidRPr="00AF0855">
        <w:rPr>
          <w:color w:val="000000"/>
          <w:vertAlign w:val="subscript"/>
          <w:lang w:eastAsia="zh-CN"/>
        </w:rPr>
        <w:t xml:space="preserve">6 </w:t>
      </w:r>
      <w:r w:rsidRPr="00AF0855">
        <w:rPr>
          <w:color w:val="000000"/>
        </w:rPr>
        <w:t>и</w:t>
      </w:r>
      <w:r w:rsidRPr="00AF0855">
        <w:rPr>
          <w:color w:val="000000"/>
          <w:lang w:eastAsia="zh-CN"/>
        </w:rPr>
        <w:t xml:space="preserve"> </w:t>
      </w:r>
      <w:r w:rsidRPr="00AF0855">
        <w:rPr>
          <w:color w:val="000000"/>
        </w:rPr>
        <w:t>Cs</w:t>
      </w:r>
      <w:r w:rsidRPr="00AF0855">
        <w:rPr>
          <w:color w:val="000000"/>
          <w:vertAlign w:val="subscript"/>
        </w:rPr>
        <w:t>2</w:t>
      </w:r>
      <w:r w:rsidRPr="00AF0855">
        <w:rPr>
          <w:color w:val="000000"/>
        </w:rPr>
        <w:t>AgBi</w:t>
      </w:r>
      <w:r w:rsidRPr="00AF0855">
        <w:rPr>
          <w:color w:val="000000"/>
          <w:vertAlign w:val="subscript"/>
        </w:rPr>
        <w:t>1-</w:t>
      </w:r>
      <w:r w:rsidRPr="00AF0855">
        <w:rPr>
          <w:rFonts w:hint="eastAsia"/>
          <w:color w:val="000000"/>
          <w:vertAlign w:val="subscript"/>
          <w:lang w:eastAsia="zh-CN"/>
        </w:rPr>
        <w:t>2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Sb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In</w:t>
      </w:r>
      <w:r w:rsidRPr="00AF0855">
        <w:rPr>
          <w:color w:val="000000"/>
          <w:vertAlign w:val="subscript"/>
        </w:rPr>
        <w:t>x</w:t>
      </w:r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6</w:t>
      </w:r>
      <w:r w:rsidRPr="00AF0855">
        <w:rPr>
          <w:rFonts w:hint="eastAsia"/>
          <w:color w:val="000000"/>
          <w:vertAlign w:val="subscript"/>
          <w:lang w:eastAsia="zh-CN"/>
        </w:rPr>
        <w:t xml:space="preserve"> </w:t>
      </w:r>
      <w:r w:rsidRPr="00AF0855">
        <w:rPr>
          <w:color w:val="000000"/>
        </w:rPr>
        <w:t xml:space="preserve">были синтезированы твердофазным или </w:t>
      </w:r>
      <w:proofErr w:type="spellStart"/>
      <w:r w:rsidRPr="00AF0855">
        <w:rPr>
          <w:color w:val="000000"/>
        </w:rPr>
        <w:t>гетерофазным</w:t>
      </w:r>
      <w:proofErr w:type="spellEnd"/>
      <w:r w:rsidRPr="00AF0855">
        <w:rPr>
          <w:color w:val="000000"/>
        </w:rPr>
        <w:t xml:space="preserve"> ампульным методами.</w:t>
      </w:r>
      <w:r w:rsidRPr="00AF0855">
        <w:rPr>
          <w:color w:val="000000"/>
          <w:lang w:eastAsia="zh-CN"/>
        </w:rPr>
        <w:t xml:space="preserve"> </w:t>
      </w:r>
      <w:r w:rsidRPr="00AF0855">
        <w:rPr>
          <w:rFonts w:eastAsia="Times New Roman"/>
          <w:color w:val="000000"/>
        </w:rPr>
        <w:t>По результатам РФА образцов</w:t>
      </w:r>
      <w:r w:rsidRPr="00AF0855">
        <w:rPr>
          <w:color w:val="000000"/>
          <w:vertAlign w:val="subscript"/>
          <w:lang w:eastAsia="zh-CN"/>
        </w:rPr>
        <w:t xml:space="preserve"> </w:t>
      </w:r>
      <w:r w:rsidRPr="00AF0855">
        <w:rPr>
          <w:color w:val="000000"/>
          <w:lang w:eastAsia="zh-CN"/>
        </w:rPr>
        <w:t xml:space="preserve">было показано образование фазы двойного перовскита </w:t>
      </w:r>
      <w:r w:rsidRPr="00AF0855">
        <w:rPr>
          <w:color w:val="000000"/>
          <w:lang w:val="en-US" w:eastAsia="zh-CN"/>
        </w:rPr>
        <w:t>Cs</w:t>
      </w:r>
      <w:r w:rsidRPr="00AF0855">
        <w:rPr>
          <w:color w:val="000000"/>
          <w:vertAlign w:val="subscript"/>
          <w:lang w:eastAsia="zh-CN"/>
        </w:rPr>
        <w:t>2</w:t>
      </w:r>
      <w:proofErr w:type="spellStart"/>
      <w:r w:rsidRPr="00AF0855">
        <w:rPr>
          <w:color w:val="000000"/>
          <w:lang w:val="en-US" w:eastAsia="zh-CN"/>
        </w:rPr>
        <w:t>AgBiBr</w:t>
      </w:r>
      <w:proofErr w:type="spellEnd"/>
      <w:r w:rsidRPr="00AF0855">
        <w:rPr>
          <w:color w:val="000000"/>
          <w:vertAlign w:val="subscript"/>
          <w:lang w:eastAsia="zh-CN"/>
        </w:rPr>
        <w:t>6</w:t>
      </w:r>
      <w:r w:rsidRPr="00AF0855">
        <w:rPr>
          <w:color w:val="000000"/>
          <w:lang w:eastAsia="zh-CN"/>
        </w:rPr>
        <w:t xml:space="preserve">, однако в образцах присутствовали и примесные фазы. Среди них двойной галогенид </w:t>
      </w:r>
      <w:r w:rsidRPr="00AF0855">
        <w:rPr>
          <w:color w:val="000000"/>
        </w:rPr>
        <w:t>Cs</w:t>
      </w:r>
      <w:r w:rsidRPr="00AF0855">
        <w:rPr>
          <w:color w:val="000000"/>
          <w:vertAlign w:val="subscript"/>
        </w:rPr>
        <w:t>3</w:t>
      </w:r>
      <w:r w:rsidRPr="00AF0855">
        <w:rPr>
          <w:color w:val="000000"/>
        </w:rPr>
        <w:t>Bi</w:t>
      </w:r>
      <w:r w:rsidRPr="00AF0855">
        <w:rPr>
          <w:color w:val="000000"/>
          <w:vertAlign w:val="subscript"/>
        </w:rPr>
        <w:t>2</w:t>
      </w:r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9</w:t>
      </w:r>
      <w:r w:rsidRPr="00AF0855">
        <w:rPr>
          <w:color w:val="000000"/>
        </w:rPr>
        <w:t xml:space="preserve"> </w:t>
      </w:r>
      <w:r w:rsidRPr="00AF0855">
        <w:rPr>
          <w:color w:val="000000"/>
          <w:lang w:eastAsia="zh-CN"/>
        </w:rPr>
        <w:t xml:space="preserve">является основной примесью. Образцы замещенных двойных </w:t>
      </w:r>
      <w:proofErr w:type="spellStart"/>
      <w:r w:rsidRPr="00AF0855">
        <w:rPr>
          <w:color w:val="000000"/>
          <w:lang w:eastAsia="zh-CN"/>
        </w:rPr>
        <w:t>бромовисмутатов</w:t>
      </w:r>
      <w:proofErr w:type="spellEnd"/>
      <w:r w:rsidRPr="00AF0855">
        <w:rPr>
          <w:color w:val="000000"/>
          <w:lang w:eastAsia="zh-CN"/>
        </w:rPr>
        <w:t xml:space="preserve"> </w:t>
      </w:r>
      <w:proofErr w:type="spellStart"/>
      <w:r w:rsidRPr="00AF0855">
        <w:rPr>
          <w:color w:val="000000"/>
          <w:lang w:eastAsia="zh-CN"/>
        </w:rPr>
        <w:t>теоретиче</w:t>
      </w:r>
      <w:proofErr w:type="spellEnd"/>
      <w:r w:rsidRPr="00AF0855">
        <w:rPr>
          <w:color w:val="000000"/>
          <w:lang w:val="en-US" w:eastAsia="zh-CN"/>
        </w:rPr>
        <w:t>c</w:t>
      </w:r>
      <w:r w:rsidRPr="00AF0855">
        <w:rPr>
          <w:color w:val="000000"/>
          <w:lang w:eastAsia="zh-CN"/>
        </w:rPr>
        <w:t xml:space="preserve">кого состава </w:t>
      </w:r>
      <w:r w:rsidRPr="00AF0855">
        <w:rPr>
          <w:color w:val="000000"/>
        </w:rPr>
        <w:t>Cs</w:t>
      </w:r>
      <w:r w:rsidRPr="00AF0855">
        <w:rPr>
          <w:color w:val="000000"/>
          <w:vertAlign w:val="subscript"/>
        </w:rPr>
        <w:t>3</w:t>
      </w:r>
      <w:r w:rsidRPr="00AF0855">
        <w:rPr>
          <w:color w:val="000000"/>
        </w:rPr>
        <w:t>Bi</w:t>
      </w:r>
      <w:r w:rsidRPr="00AF0855">
        <w:rPr>
          <w:color w:val="000000"/>
          <w:vertAlign w:val="subscript"/>
        </w:rPr>
        <w:t>2-х</w:t>
      </w:r>
      <w:proofErr w:type="spellStart"/>
      <w:r w:rsidRPr="00AF0855">
        <w:rPr>
          <w:color w:val="000000"/>
          <w:lang w:val="en-US"/>
        </w:rPr>
        <w:t>Sb</w:t>
      </w:r>
      <w:r w:rsidRPr="00AF0855">
        <w:rPr>
          <w:color w:val="000000"/>
          <w:vertAlign w:val="subscript"/>
          <w:lang w:val="en-US"/>
        </w:rPr>
        <w:t>x</w:t>
      </w:r>
      <w:proofErr w:type="spellEnd"/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9</w:t>
      </w:r>
      <w:r w:rsidRPr="00AF0855">
        <w:rPr>
          <w:color w:val="000000"/>
        </w:rPr>
        <w:t>,</w:t>
      </w:r>
      <w:r w:rsidRPr="00AF0855">
        <w:rPr>
          <w:color w:val="000000"/>
          <w:vertAlign w:val="subscript"/>
        </w:rPr>
        <w:t xml:space="preserve"> </w:t>
      </w:r>
      <w:r w:rsidRPr="00AF0855">
        <w:rPr>
          <w:color w:val="000000"/>
        </w:rPr>
        <w:t>Cs</w:t>
      </w:r>
      <w:r w:rsidRPr="00AF0855">
        <w:rPr>
          <w:color w:val="000000"/>
          <w:vertAlign w:val="subscript"/>
        </w:rPr>
        <w:t>3</w:t>
      </w:r>
      <w:r w:rsidRPr="00AF0855">
        <w:rPr>
          <w:color w:val="000000"/>
        </w:rPr>
        <w:t>Bi</w:t>
      </w:r>
      <w:r w:rsidRPr="00AF0855">
        <w:rPr>
          <w:color w:val="000000"/>
          <w:vertAlign w:val="subscript"/>
        </w:rPr>
        <w:t>2-</w:t>
      </w:r>
      <w:proofErr w:type="spellStart"/>
      <w:r w:rsidRPr="00AF0855">
        <w:rPr>
          <w:color w:val="000000"/>
          <w:vertAlign w:val="subscript"/>
          <w:lang w:val="en-US"/>
        </w:rPr>
        <w:t>x</w:t>
      </w:r>
      <w:r w:rsidRPr="00AF0855">
        <w:rPr>
          <w:color w:val="000000"/>
          <w:lang w:val="en-US"/>
        </w:rPr>
        <w:t>In</w:t>
      </w:r>
      <w:r w:rsidRPr="00AF0855">
        <w:rPr>
          <w:color w:val="000000"/>
          <w:vertAlign w:val="subscript"/>
          <w:lang w:val="en-US"/>
        </w:rPr>
        <w:t>x</w:t>
      </w:r>
      <w:proofErr w:type="spellEnd"/>
      <w:r w:rsidRPr="00AF0855">
        <w:rPr>
          <w:color w:val="000000"/>
        </w:rPr>
        <w:t>Br</w:t>
      </w:r>
      <w:r w:rsidRPr="00AF0855">
        <w:rPr>
          <w:color w:val="000000"/>
          <w:vertAlign w:val="subscript"/>
        </w:rPr>
        <w:t>9</w:t>
      </w:r>
      <w:r w:rsidRPr="00AF0855">
        <w:rPr>
          <w:color w:val="000000"/>
          <w:vertAlign w:val="subscript"/>
          <w:lang w:eastAsia="zh-CN"/>
        </w:rPr>
        <w:t xml:space="preserve"> </w:t>
      </w:r>
      <w:r w:rsidRPr="00AF0855">
        <w:rPr>
          <w:color w:val="000000"/>
          <w:lang w:eastAsia="zh-CN"/>
        </w:rPr>
        <w:t xml:space="preserve">и </w:t>
      </w:r>
      <w:r w:rsidRPr="00AF0855">
        <w:rPr>
          <w:color w:val="000000"/>
          <w:lang w:val="en-US" w:eastAsia="zh-CN"/>
        </w:rPr>
        <w:t>Cs</w:t>
      </w:r>
      <w:r w:rsidRPr="00AF0855">
        <w:rPr>
          <w:color w:val="000000"/>
          <w:vertAlign w:val="subscript"/>
          <w:lang w:eastAsia="zh-CN"/>
        </w:rPr>
        <w:t>3</w:t>
      </w:r>
      <w:r w:rsidRPr="00AF0855">
        <w:rPr>
          <w:color w:val="000000"/>
          <w:lang w:val="en-US" w:eastAsia="zh-CN"/>
        </w:rPr>
        <w:t>Bi</w:t>
      </w:r>
      <w:r w:rsidRPr="00AF0855">
        <w:rPr>
          <w:color w:val="000000"/>
          <w:vertAlign w:val="subscript"/>
          <w:lang w:eastAsia="zh-CN"/>
        </w:rPr>
        <w:t>2-</w:t>
      </w:r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vertAlign w:val="subscript"/>
          <w:lang w:eastAsia="zh-CN"/>
        </w:rPr>
        <w:t>-</w:t>
      </w:r>
      <w:proofErr w:type="spellStart"/>
      <w:r w:rsidRPr="00AF0855">
        <w:rPr>
          <w:color w:val="000000"/>
          <w:vertAlign w:val="subscript"/>
          <w:lang w:val="en-US" w:eastAsia="zh-CN"/>
        </w:rPr>
        <w:t>y</w:t>
      </w:r>
      <w:r w:rsidRPr="00AF0855">
        <w:rPr>
          <w:color w:val="000000"/>
          <w:lang w:val="en-US" w:eastAsia="zh-CN"/>
        </w:rPr>
        <w:t>In</w:t>
      </w:r>
      <w:r w:rsidRPr="00AF0855">
        <w:rPr>
          <w:color w:val="000000"/>
          <w:vertAlign w:val="subscript"/>
          <w:lang w:val="en-US" w:eastAsia="zh-CN"/>
        </w:rPr>
        <w:t>x</w:t>
      </w:r>
      <w:r w:rsidRPr="00AF0855">
        <w:rPr>
          <w:color w:val="000000"/>
          <w:lang w:val="en-US" w:eastAsia="zh-CN"/>
        </w:rPr>
        <w:t>Sb</w:t>
      </w:r>
      <w:r w:rsidRPr="00AF0855">
        <w:rPr>
          <w:color w:val="000000"/>
          <w:vertAlign w:val="subscript"/>
          <w:lang w:val="en-US" w:eastAsia="zh-CN"/>
        </w:rPr>
        <w:t>y</w:t>
      </w:r>
      <w:r w:rsidRPr="00AF0855">
        <w:rPr>
          <w:color w:val="000000"/>
          <w:lang w:val="en-US" w:eastAsia="zh-CN"/>
        </w:rPr>
        <w:t>Br</w:t>
      </w:r>
      <w:proofErr w:type="spellEnd"/>
      <w:r w:rsidRPr="00AF0855">
        <w:rPr>
          <w:color w:val="000000"/>
          <w:vertAlign w:val="subscript"/>
          <w:lang w:eastAsia="zh-CN"/>
        </w:rPr>
        <w:t>9</w:t>
      </w:r>
      <w:r w:rsidRPr="00AF0855">
        <w:rPr>
          <w:color w:val="000000"/>
          <w:lang w:eastAsia="zh-CN"/>
        </w:rPr>
        <w:t xml:space="preserve">, где </w:t>
      </w:r>
      <w:r w:rsidRPr="00AF0855">
        <w:rPr>
          <w:i/>
          <w:iCs/>
          <w:color w:val="000000"/>
          <w:lang w:eastAsia="zh-CN"/>
        </w:rPr>
        <w:t>х</w:t>
      </w:r>
      <w:r w:rsidRPr="00AF0855">
        <w:rPr>
          <w:color w:val="000000"/>
          <w:lang w:eastAsia="zh-CN"/>
        </w:rPr>
        <w:t xml:space="preserve"> = 0 – 1, был получен основной продукт Cs</w:t>
      </w:r>
      <w:r w:rsidRPr="00AF0855">
        <w:rPr>
          <w:color w:val="000000"/>
          <w:vertAlign w:val="subscript"/>
          <w:lang w:eastAsia="zh-CN"/>
        </w:rPr>
        <w:t>3</w:t>
      </w:r>
      <w:r w:rsidRPr="00AF0855">
        <w:rPr>
          <w:color w:val="000000"/>
          <w:lang w:eastAsia="zh-CN"/>
        </w:rPr>
        <w:t>Bi</w:t>
      </w:r>
      <w:r w:rsidRPr="00AF0855">
        <w:rPr>
          <w:color w:val="000000"/>
          <w:vertAlign w:val="subscript"/>
          <w:lang w:eastAsia="zh-CN"/>
        </w:rPr>
        <w:t>2</w:t>
      </w:r>
      <w:r w:rsidRPr="00AF0855">
        <w:rPr>
          <w:color w:val="000000"/>
          <w:lang w:eastAsia="zh-CN"/>
        </w:rPr>
        <w:t>Br</w:t>
      </w:r>
      <w:r w:rsidRPr="00AF0855">
        <w:rPr>
          <w:color w:val="000000"/>
          <w:vertAlign w:val="subscript"/>
          <w:lang w:eastAsia="zh-CN"/>
        </w:rPr>
        <w:t>9</w:t>
      </w:r>
      <w:r w:rsidRPr="00AF0855">
        <w:rPr>
          <w:color w:val="000000"/>
          <w:lang w:eastAsia="zh-CN"/>
        </w:rPr>
        <w:t>.</w:t>
      </w:r>
      <w:bookmarkStart w:id="3" w:name="OLE_LINK8"/>
      <w:r w:rsidR="00366D91">
        <w:rPr>
          <w:color w:val="000000"/>
          <w:lang w:eastAsia="zh-CN"/>
        </w:rPr>
        <w:t xml:space="preserve"> </w:t>
      </w:r>
      <w:r>
        <w:rPr>
          <w:lang w:eastAsia="zh-CN"/>
        </w:rPr>
        <w:t>По спектрам диффузного отражения образцов Cs</w:t>
      </w:r>
      <w:r>
        <w:rPr>
          <w:vertAlign w:val="subscript"/>
          <w:lang w:eastAsia="zh-CN"/>
        </w:rPr>
        <w:t>2</w:t>
      </w:r>
      <w:r>
        <w:rPr>
          <w:lang w:eastAsia="zh-CN"/>
        </w:rPr>
        <w:t>AgBi</w:t>
      </w:r>
      <w:r>
        <w:rPr>
          <w:vertAlign w:val="subscript"/>
          <w:lang w:eastAsia="zh-CN"/>
        </w:rPr>
        <w:t>1-x</w:t>
      </w:r>
      <w:r>
        <w:rPr>
          <w:lang w:eastAsia="zh-CN"/>
        </w:rPr>
        <w:t>Sb</w:t>
      </w:r>
      <w:r>
        <w:rPr>
          <w:vertAlign w:val="subscript"/>
          <w:lang w:eastAsia="zh-CN"/>
        </w:rPr>
        <w:t>x</w:t>
      </w:r>
      <w:r>
        <w:rPr>
          <w:lang w:eastAsia="zh-CN"/>
        </w:rPr>
        <w:t>Br</w:t>
      </w:r>
      <w:r>
        <w:rPr>
          <w:vertAlign w:val="subscript"/>
          <w:lang w:eastAsia="zh-CN"/>
        </w:rPr>
        <w:t>6</w:t>
      </w:r>
      <w:r>
        <w:rPr>
          <w:lang w:eastAsia="zh-CN"/>
        </w:rPr>
        <w:t xml:space="preserve"> (</w:t>
      </w:r>
      <w:r>
        <w:rPr>
          <w:i/>
          <w:iCs/>
          <w:lang w:eastAsia="zh-CN"/>
        </w:rPr>
        <w:t>х</w:t>
      </w:r>
      <w:r>
        <w:rPr>
          <w:lang w:eastAsia="zh-CN"/>
        </w:rPr>
        <w:t xml:space="preserve"> = 0 - 1) видно, что край поглощения образцов смещается в красную область спектра с ростом степени замещения </w:t>
      </w:r>
      <w:r>
        <w:rPr>
          <w:i/>
          <w:iCs/>
          <w:lang w:eastAsia="zh-CN"/>
        </w:rPr>
        <w:t>х</w:t>
      </w:r>
      <w:r>
        <w:rPr>
          <w:lang w:eastAsia="zh-CN"/>
        </w:rPr>
        <w:t xml:space="preserve"> от 2,29 эВ до 2,39 эВ, что может означать изменение (уменьшение) ширины запрещенной зоны материала. Смещение края поглощения в красную область спектра может быть связано дефектными состояниями, вызванными легированием двойного перовскита.</w:t>
      </w:r>
      <w:bookmarkEnd w:id="3"/>
      <w:r w:rsidR="00366D91">
        <w:rPr>
          <w:lang w:eastAsia="zh-CN"/>
        </w:rPr>
        <w:t xml:space="preserve"> </w:t>
      </w:r>
      <w:r>
        <w:rPr>
          <w:lang w:eastAsia="zh-CN"/>
        </w:rPr>
        <w:t xml:space="preserve">Исследование спектров фотолюминесценции образцов серии </w:t>
      </w:r>
      <w:r>
        <w:rPr>
          <w:lang w:val="en-US" w:eastAsia="zh-CN"/>
        </w:rPr>
        <w:t>Cs</w:t>
      </w:r>
      <w:r>
        <w:rPr>
          <w:vertAlign w:val="subscript"/>
          <w:lang w:eastAsia="zh-CN"/>
        </w:rPr>
        <w:t>2</w:t>
      </w:r>
      <w:proofErr w:type="spellStart"/>
      <w:r>
        <w:rPr>
          <w:lang w:val="en-US" w:eastAsia="zh-CN"/>
        </w:rPr>
        <w:t>AgBiBr</w:t>
      </w:r>
      <w:proofErr w:type="spellEnd"/>
      <w:r>
        <w:rPr>
          <w:vertAlign w:val="subscript"/>
          <w:lang w:eastAsia="zh-CN"/>
        </w:rPr>
        <w:t xml:space="preserve">6 </w:t>
      </w:r>
      <w:r>
        <w:rPr>
          <w:lang w:eastAsia="zh-CN"/>
        </w:rPr>
        <w:t xml:space="preserve">показало, что в спектре нет смещения характерного максимума при 650±30 нм, как ожидалось. В образцах серии </w:t>
      </w:r>
      <w:r>
        <w:rPr>
          <w:lang w:val="en-US" w:eastAsia="zh-CN"/>
        </w:rPr>
        <w:t>Cs</w:t>
      </w:r>
      <w:r>
        <w:rPr>
          <w:vertAlign w:val="subscript"/>
          <w:lang w:eastAsia="zh-CN"/>
        </w:rPr>
        <w:t>2</w:t>
      </w:r>
      <w:proofErr w:type="spellStart"/>
      <w:r>
        <w:rPr>
          <w:lang w:val="en-US" w:eastAsia="zh-CN"/>
        </w:rPr>
        <w:t>AgSbBr</w:t>
      </w:r>
      <w:proofErr w:type="spellEnd"/>
      <w:r>
        <w:rPr>
          <w:vertAlign w:val="subscript"/>
          <w:lang w:eastAsia="zh-CN"/>
        </w:rPr>
        <w:t xml:space="preserve">6 </w:t>
      </w:r>
      <w:r>
        <w:rPr>
          <w:lang w:eastAsia="zh-CN"/>
        </w:rPr>
        <w:t xml:space="preserve">в спектре нет смещения характерного максимума при 400±20 нм. Для серии образцов </w:t>
      </w:r>
      <w:r>
        <w:rPr>
          <w:lang w:val="en-US" w:eastAsia="zh-CN"/>
        </w:rPr>
        <w:t>Cs</w:t>
      </w:r>
      <w:r>
        <w:rPr>
          <w:vertAlign w:val="subscript"/>
          <w:lang w:eastAsia="zh-CN"/>
        </w:rPr>
        <w:t>2</w:t>
      </w:r>
      <w:proofErr w:type="spellStart"/>
      <w:r>
        <w:rPr>
          <w:lang w:val="en-US" w:eastAsia="zh-CN"/>
        </w:rPr>
        <w:t>AgBi</w:t>
      </w:r>
      <w:proofErr w:type="spellEnd"/>
      <w:r>
        <w:rPr>
          <w:vertAlign w:val="subscript"/>
          <w:lang w:eastAsia="zh-CN"/>
        </w:rPr>
        <w:t>1-</w:t>
      </w:r>
      <w:proofErr w:type="spellStart"/>
      <w:r>
        <w:rPr>
          <w:vertAlign w:val="subscript"/>
          <w:lang w:val="en-US" w:eastAsia="zh-CN"/>
        </w:rPr>
        <w:t>x</w:t>
      </w:r>
      <w:r>
        <w:rPr>
          <w:lang w:val="en-US" w:eastAsia="zh-CN"/>
        </w:rPr>
        <w:t>In</w:t>
      </w:r>
      <w:r>
        <w:rPr>
          <w:vertAlign w:val="subscript"/>
          <w:lang w:val="en-US" w:eastAsia="zh-CN"/>
        </w:rPr>
        <w:t>x</w:t>
      </w:r>
      <w:r>
        <w:rPr>
          <w:lang w:val="en-US" w:eastAsia="zh-CN"/>
        </w:rPr>
        <w:t>Br</w:t>
      </w:r>
      <w:proofErr w:type="spellEnd"/>
      <w:r>
        <w:rPr>
          <w:vertAlign w:val="subscript"/>
          <w:lang w:eastAsia="zh-CN"/>
        </w:rPr>
        <w:t>6</w:t>
      </w:r>
      <w:r>
        <w:rPr>
          <w:lang w:eastAsia="zh-CN"/>
        </w:rPr>
        <w:t xml:space="preserve"> также практически не было смещения, что показывает, что значения ширины запрещенной зоны материала изменяются в пределах погрешности измерений.</w:t>
      </w:r>
    </w:p>
    <w:p w14:paraId="334B9BE2" w14:textId="77777777" w:rsidR="003628C8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79E0B38" w14:textId="12E96306" w:rsidR="003628C8" w:rsidRDefault="00AF0855" w:rsidP="00AF0855">
      <w:pPr>
        <w:jc w:val="both"/>
        <w:rPr>
          <w:lang w:val="en-US" w:eastAsia="zh-CN"/>
        </w:rPr>
      </w:pPr>
      <w:bookmarkStart w:id="4" w:name="_Hlk177747281"/>
      <w:r>
        <w:rPr>
          <w:lang w:val="es-US" w:eastAsia="zh-CN"/>
        </w:rPr>
        <w:t xml:space="preserve">1. </w:t>
      </w:r>
      <w:r w:rsidR="00000000">
        <w:rPr>
          <w:rFonts w:hint="eastAsia"/>
          <w:lang w:val="es-US" w:eastAsia="zh-CN"/>
        </w:rPr>
        <w:t>Dai S</w:t>
      </w:r>
      <w:r w:rsidR="00000000">
        <w:rPr>
          <w:lang w:val="es-US" w:eastAsia="zh-CN"/>
        </w:rPr>
        <w:t>.</w:t>
      </w:r>
      <w:r w:rsidR="00000000">
        <w:rPr>
          <w:rFonts w:hint="eastAsia"/>
          <w:lang w:val="es-US" w:eastAsia="zh-CN"/>
        </w:rPr>
        <w:t>, Gan X</w:t>
      </w:r>
      <w:r w:rsidR="00000000">
        <w:rPr>
          <w:lang w:val="es-US" w:eastAsia="zh-CN"/>
        </w:rPr>
        <w:t>.</w:t>
      </w:r>
      <w:r w:rsidR="00000000">
        <w:rPr>
          <w:rFonts w:hint="eastAsia"/>
          <w:lang w:val="es-US" w:eastAsia="zh-CN"/>
        </w:rPr>
        <w:t>, Li K</w:t>
      </w:r>
      <w:r w:rsidR="00000000">
        <w:rPr>
          <w:lang w:val="es-US" w:eastAsia="zh-CN"/>
        </w:rPr>
        <w:t>.</w:t>
      </w:r>
      <w:r w:rsidR="00000000">
        <w:rPr>
          <w:rFonts w:hint="eastAsia"/>
          <w:lang w:val="es-US" w:eastAsia="zh-CN"/>
        </w:rPr>
        <w:t xml:space="preserve">, et al. </w:t>
      </w:r>
      <w:r w:rsidR="00000000">
        <w:rPr>
          <w:rFonts w:hint="eastAsia"/>
          <w:lang w:val="en-US" w:eastAsia="zh-CN"/>
        </w:rPr>
        <w:t xml:space="preserve">Bandgap lowering in mixed alloys of </w:t>
      </w:r>
      <w:r w:rsidR="00000000">
        <w:rPr>
          <w:lang w:val="en-US"/>
        </w:rPr>
        <w:t>Cs</w:t>
      </w:r>
      <w:r w:rsidR="00000000">
        <w:rPr>
          <w:vertAlign w:val="subscript"/>
          <w:lang w:val="en-US"/>
        </w:rPr>
        <w:t>3</w:t>
      </w:r>
      <w:r w:rsidR="00000000">
        <w:rPr>
          <w:lang w:val="en-US"/>
        </w:rPr>
        <w:t>Bi</w:t>
      </w:r>
      <w:r w:rsidR="00000000">
        <w:rPr>
          <w:vertAlign w:val="subscript"/>
          <w:lang w:val="en-US"/>
        </w:rPr>
        <w:t>2-x</w:t>
      </w:r>
      <w:r w:rsidR="00000000">
        <w:rPr>
          <w:lang w:val="en-US"/>
        </w:rPr>
        <w:t>Sb</w:t>
      </w:r>
      <w:r w:rsidR="00000000">
        <w:rPr>
          <w:vertAlign w:val="subscript"/>
          <w:lang w:val="en-US"/>
        </w:rPr>
        <w:t>x</w:t>
      </w:r>
      <w:r w:rsidR="00000000">
        <w:rPr>
          <w:lang w:val="en-US"/>
        </w:rPr>
        <w:t>Br</w:t>
      </w:r>
      <w:r w:rsidR="00000000">
        <w:rPr>
          <w:vertAlign w:val="subscript"/>
          <w:lang w:val="en-US"/>
        </w:rPr>
        <w:t>9</w:t>
      </w:r>
      <w:r w:rsidR="00000000">
        <w:rPr>
          <w:rFonts w:hint="eastAsia"/>
          <w:vertAlign w:val="subscript"/>
          <w:lang w:val="en-US" w:eastAsia="zh-CN"/>
        </w:rPr>
        <w:t xml:space="preserve"> </w:t>
      </w:r>
      <w:r w:rsidR="00000000">
        <w:rPr>
          <w:rFonts w:hint="eastAsia"/>
          <w:lang w:val="en-US" w:eastAsia="zh-CN"/>
        </w:rPr>
        <w:t>perovskite powders</w:t>
      </w:r>
      <w:r w:rsidR="00000000">
        <w:rPr>
          <w:lang w:val="en-US" w:eastAsia="zh-CN"/>
        </w:rPr>
        <w:t xml:space="preserve">. (2023) </w:t>
      </w:r>
      <w:r w:rsidR="00000000">
        <w:rPr>
          <w:rFonts w:hint="eastAsia"/>
          <w:lang w:val="en-US" w:eastAsia="zh-CN"/>
        </w:rPr>
        <w:t>J. Phys</w:t>
      </w:r>
      <w:r w:rsidR="00000000">
        <w:rPr>
          <w:lang w:val="en-US" w:eastAsia="zh-CN"/>
        </w:rPr>
        <w:t>.</w:t>
      </w:r>
      <w:r w:rsidR="00000000">
        <w:rPr>
          <w:rFonts w:hint="eastAsia"/>
          <w:lang w:val="en-US" w:eastAsia="zh-CN"/>
        </w:rPr>
        <w:t xml:space="preserve"> Chem</w:t>
      </w:r>
      <w:r w:rsidR="00000000">
        <w:rPr>
          <w:lang w:val="en-US" w:eastAsia="zh-CN"/>
        </w:rPr>
        <w:t>.</w:t>
      </w:r>
      <w:r w:rsidR="00000000">
        <w:rPr>
          <w:rFonts w:hint="eastAsia"/>
          <w:lang w:val="en-US" w:eastAsia="zh-CN"/>
        </w:rPr>
        <w:t xml:space="preserve"> Chem</w:t>
      </w:r>
      <w:r w:rsidR="00000000">
        <w:rPr>
          <w:lang w:val="en-US" w:eastAsia="zh-CN"/>
        </w:rPr>
        <w:t>.</w:t>
      </w:r>
      <w:r w:rsidR="00000000">
        <w:rPr>
          <w:rFonts w:hint="eastAsia"/>
          <w:lang w:val="en-US" w:eastAsia="zh-CN"/>
        </w:rPr>
        <w:t xml:space="preserve"> Phys</w:t>
      </w:r>
      <w:r w:rsidR="00000000">
        <w:rPr>
          <w:lang w:val="en-US" w:eastAsia="zh-CN"/>
        </w:rPr>
        <w:t>.</w:t>
      </w:r>
      <w:r w:rsidR="00000000">
        <w:rPr>
          <w:rFonts w:hint="eastAsia"/>
          <w:lang w:val="en-US" w:eastAsia="zh-CN"/>
        </w:rPr>
        <w:t>, 25(45)</w:t>
      </w:r>
      <w:r w:rsidR="00000000">
        <w:rPr>
          <w:lang w:val="en-US" w:eastAsia="zh-CN"/>
        </w:rPr>
        <w:t>,</w:t>
      </w:r>
      <w:r w:rsidR="00000000">
        <w:rPr>
          <w:rFonts w:hint="eastAsia"/>
          <w:lang w:val="en-US" w:eastAsia="zh-CN"/>
        </w:rPr>
        <w:t xml:space="preserve"> 30993-31002.</w:t>
      </w:r>
    </w:p>
    <w:p w14:paraId="6902CCC9" w14:textId="1E888F02" w:rsidR="003628C8" w:rsidRDefault="00AF0855" w:rsidP="00AF0855">
      <w:pPr>
        <w:jc w:val="both"/>
        <w:rPr>
          <w:lang w:val="en-US" w:eastAsia="zh-CN"/>
        </w:rPr>
      </w:pPr>
      <w:r>
        <w:rPr>
          <w:lang w:val="en-US" w:eastAsia="zh-CN"/>
        </w:rPr>
        <w:t xml:space="preserve">2. </w:t>
      </w:r>
      <w:r w:rsidR="00000000">
        <w:rPr>
          <w:lang w:val="en-US" w:eastAsia="zh-CN"/>
        </w:rPr>
        <w:t>Han, P., Zhang, X., Mao, X., Yang, B., Yang, S., Feng, Z., ... &amp; Han, K. (2019). Size effect of lead-free halide double perovskite on luminescence property. Science China Chemistry, 62, 1405-1413.</w:t>
      </w:r>
      <w:bookmarkEnd w:id="4"/>
    </w:p>
    <w:sectPr w:rsidR="003628C8" w:rsidSect="00AF0855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2F1A"/>
    <w:multiLevelType w:val="singleLevel"/>
    <w:tmpl w:val="22BA2F1A"/>
    <w:lvl w:ilvl="0">
      <w:start w:val="1"/>
      <w:numFmt w:val="decimal"/>
      <w:suff w:val="space"/>
      <w:lvlText w:val="%1."/>
      <w:lvlJc w:val="left"/>
    </w:lvl>
  </w:abstractNum>
  <w:num w:numId="1" w16cid:durableId="58021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2Yzk4NGVlZTI4ZjM4MzI5NDA5YzczZjNmMzk2ZmEifQ=="/>
  </w:docVars>
  <w:rsids>
    <w:rsidRoot w:val="008223C0"/>
    <w:rsid w:val="00005B0B"/>
    <w:rsid w:val="00092EFB"/>
    <w:rsid w:val="000B0585"/>
    <w:rsid w:val="000E3F4A"/>
    <w:rsid w:val="001B6B95"/>
    <w:rsid w:val="002427A6"/>
    <w:rsid w:val="00245B12"/>
    <w:rsid w:val="00264F69"/>
    <w:rsid w:val="003628C8"/>
    <w:rsid w:val="00366D91"/>
    <w:rsid w:val="003816A6"/>
    <w:rsid w:val="00390E2A"/>
    <w:rsid w:val="003C4DD6"/>
    <w:rsid w:val="003E046B"/>
    <w:rsid w:val="003F08C8"/>
    <w:rsid w:val="00471FDF"/>
    <w:rsid w:val="004A5A43"/>
    <w:rsid w:val="00514FD7"/>
    <w:rsid w:val="0055142D"/>
    <w:rsid w:val="00562240"/>
    <w:rsid w:val="00594687"/>
    <w:rsid w:val="00665659"/>
    <w:rsid w:val="007417BC"/>
    <w:rsid w:val="00765EC1"/>
    <w:rsid w:val="00805329"/>
    <w:rsid w:val="008223C0"/>
    <w:rsid w:val="008A26A8"/>
    <w:rsid w:val="00932366"/>
    <w:rsid w:val="009743E7"/>
    <w:rsid w:val="009B58B6"/>
    <w:rsid w:val="009D2286"/>
    <w:rsid w:val="009F594E"/>
    <w:rsid w:val="00AF0855"/>
    <w:rsid w:val="00B544DE"/>
    <w:rsid w:val="00C3198F"/>
    <w:rsid w:val="00CA6D08"/>
    <w:rsid w:val="00CB358C"/>
    <w:rsid w:val="00CC17E5"/>
    <w:rsid w:val="00DB1888"/>
    <w:rsid w:val="00DC7120"/>
    <w:rsid w:val="00E121B1"/>
    <w:rsid w:val="00E6319B"/>
    <w:rsid w:val="00EC60DF"/>
    <w:rsid w:val="00ED5E54"/>
    <w:rsid w:val="00F034F0"/>
    <w:rsid w:val="00F50952"/>
    <w:rsid w:val="00F652BC"/>
    <w:rsid w:val="00F77BA9"/>
    <w:rsid w:val="00FA654C"/>
    <w:rsid w:val="00FD18C6"/>
    <w:rsid w:val="00FF7D0C"/>
    <w:rsid w:val="02B20C36"/>
    <w:rsid w:val="05E97064"/>
    <w:rsid w:val="0B0122D2"/>
    <w:rsid w:val="0DF27A00"/>
    <w:rsid w:val="11B9737C"/>
    <w:rsid w:val="121511E1"/>
    <w:rsid w:val="12687563"/>
    <w:rsid w:val="1461426A"/>
    <w:rsid w:val="19281303"/>
    <w:rsid w:val="1F844D88"/>
    <w:rsid w:val="1F8E5297"/>
    <w:rsid w:val="245E6873"/>
    <w:rsid w:val="286D7229"/>
    <w:rsid w:val="2AAF1D7B"/>
    <w:rsid w:val="30C16364"/>
    <w:rsid w:val="31A62BFF"/>
    <w:rsid w:val="33AD2BD0"/>
    <w:rsid w:val="3A6457CD"/>
    <w:rsid w:val="3AAF547F"/>
    <w:rsid w:val="3FE1257F"/>
    <w:rsid w:val="4A8E3303"/>
    <w:rsid w:val="4A91694F"/>
    <w:rsid w:val="4D447CA9"/>
    <w:rsid w:val="4F9B74A0"/>
    <w:rsid w:val="50E772C9"/>
    <w:rsid w:val="55CE2806"/>
    <w:rsid w:val="582C3295"/>
    <w:rsid w:val="5AA82B94"/>
    <w:rsid w:val="5C371DFE"/>
    <w:rsid w:val="5E272AFC"/>
    <w:rsid w:val="60805044"/>
    <w:rsid w:val="65B17A4E"/>
    <w:rsid w:val="6609788A"/>
    <w:rsid w:val="6A042842"/>
    <w:rsid w:val="6A7B497A"/>
    <w:rsid w:val="6C0B576B"/>
    <w:rsid w:val="6C164AAF"/>
    <w:rsid w:val="6E603B59"/>
    <w:rsid w:val="70A42689"/>
    <w:rsid w:val="733E6DC5"/>
    <w:rsid w:val="79554E68"/>
    <w:rsid w:val="7D10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EE9E62"/>
  <w15:docId w15:val="{FD4767EA-77FB-41E1-8B65-106DC8F1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>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creator>tatjana</dc:creator>
  <cp:lastModifiedBy>Иван Chernoukhov</cp:lastModifiedBy>
  <cp:revision>2</cp:revision>
  <dcterms:created xsi:type="dcterms:W3CDTF">2025-03-28T13:15:00Z</dcterms:created>
  <dcterms:modified xsi:type="dcterms:W3CDTF">2025-03-28T13:15:00Z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C6ACC03691D44D12AB7B773988895668_13</vt:lpwstr>
  </property>
  <property fmtid="{D5CDD505-2E9C-101B-9397-08002B2CF9AE}" pid="4" name="KSOTemplateDocerSaveRecord">
    <vt:lpwstr>eyJoZGlkIjoiM2U2Yzk4NGVlZTI4ZjM4MzI5NDA5YzczZjNmMzk2ZmEiLCJ1c2VySWQiOiI3NDc5NDU1MDgifQ==</vt:lpwstr>
  </property>
</Properties>
</file>