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843D" w14:textId="77777777" w:rsidR="001D4F6E" w:rsidRDefault="00B41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41CF3">
        <w:rPr>
          <w:b/>
          <w:color w:val="000000"/>
        </w:rPr>
        <w:t xml:space="preserve">Планарные композитные структуры на основе диоксида титана и наночастиц золота и серебра в спектроскопии </w:t>
      </w:r>
      <w:r w:rsidR="008C5C5E" w:rsidRPr="00B41CF3">
        <w:rPr>
          <w:b/>
          <w:color w:val="000000"/>
        </w:rPr>
        <w:t>гигантского</w:t>
      </w:r>
      <w:r w:rsidRPr="00B41CF3">
        <w:rPr>
          <w:b/>
          <w:color w:val="000000"/>
        </w:rPr>
        <w:t xml:space="preserve"> комбинационного рассеяния</w:t>
      </w:r>
    </w:p>
    <w:p w14:paraId="00000002" w14:textId="191D047D" w:rsidR="00130241" w:rsidRPr="00767EC9" w:rsidRDefault="00B41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Моторин Е.А.</w:t>
      </w:r>
      <w:r w:rsidR="00A55AB4">
        <w:rPr>
          <w:b/>
          <w:i/>
          <w:color w:val="000000"/>
          <w:vertAlign w:val="superscript"/>
        </w:rPr>
        <w:t>1</w:t>
      </w:r>
      <w:r w:rsidR="00A55AB4">
        <w:rPr>
          <w:b/>
          <w:i/>
          <w:color w:val="000000"/>
        </w:rPr>
        <w:t>, Козлов Д.А.</w:t>
      </w:r>
      <w:r w:rsidR="00A55AB4">
        <w:rPr>
          <w:b/>
          <w:i/>
          <w:color w:val="000000"/>
          <w:vertAlign w:val="superscript"/>
        </w:rPr>
        <w:t>2</w:t>
      </w:r>
      <w:r w:rsidR="00767EC9">
        <w:rPr>
          <w:b/>
          <w:i/>
          <w:color w:val="000000"/>
        </w:rPr>
        <w:t>, Гаршев А.В.</w:t>
      </w:r>
      <w:r w:rsidR="00767EC9">
        <w:rPr>
          <w:b/>
          <w:i/>
          <w:color w:val="000000"/>
          <w:vertAlign w:val="superscript"/>
        </w:rPr>
        <w:t>1</w:t>
      </w:r>
    </w:p>
    <w:p w14:paraId="00000003" w14:textId="0FEB4BF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41CF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41CF3">
        <w:rPr>
          <w:i/>
          <w:color w:val="000000"/>
        </w:rPr>
        <w:t>магистратуры</w:t>
      </w:r>
    </w:p>
    <w:p w14:paraId="00000005" w14:textId="2E062728" w:rsidR="00130241" w:rsidRDefault="00A55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  <w:r w:rsidR="005F36B6">
        <w:rPr>
          <w:i/>
          <w:color w:val="000000"/>
        </w:rPr>
        <w:br/>
      </w:r>
      <w:r w:rsidR="00B41CF3"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46FD868F" w14:textId="4E1A0CA9" w:rsidR="00A55AB4" w:rsidRPr="00A55AB4" w:rsidRDefault="00A55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A55AB4">
        <w:rPr>
          <w:i/>
          <w:color w:val="000000"/>
        </w:rPr>
        <w:t>Институт общей и неорганической химии им. Н.С. Курнакова</w:t>
      </w:r>
      <w:r w:rsidR="006A56FD">
        <w:rPr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14:paraId="1ADA4293" w14:textId="5A11AB31" w:rsidR="00CD00B1" w:rsidRPr="001D4F6E" w:rsidRDefault="00EB1F49" w:rsidP="00557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4F6E">
        <w:rPr>
          <w:i/>
          <w:color w:val="000000"/>
          <w:lang w:val="en-US"/>
        </w:rPr>
        <w:t>E</w:t>
      </w:r>
      <w:r w:rsidR="003B76D6" w:rsidRPr="001D4F6E">
        <w:rPr>
          <w:i/>
          <w:color w:val="000000"/>
        </w:rPr>
        <w:t>-</w:t>
      </w:r>
      <w:r w:rsidRPr="001D4F6E">
        <w:rPr>
          <w:i/>
          <w:color w:val="000000"/>
          <w:lang w:val="en-US"/>
        </w:rPr>
        <w:t>mail</w:t>
      </w:r>
      <w:r w:rsidRPr="001D4F6E">
        <w:rPr>
          <w:i/>
          <w:color w:val="000000"/>
        </w:rPr>
        <w:t xml:space="preserve">: </w:t>
      </w:r>
      <w:hyperlink r:id="rId6" w:history="1">
        <w:r w:rsidR="00B41CF3" w:rsidRPr="001D4F6E">
          <w:rPr>
            <w:rStyle w:val="a9"/>
            <w:color w:val="000000"/>
            <w:lang w:val="en-US"/>
          </w:rPr>
          <w:t>motorinea</w:t>
        </w:r>
        <w:r w:rsidR="00B41CF3" w:rsidRPr="001D4F6E">
          <w:rPr>
            <w:rStyle w:val="a9"/>
            <w:color w:val="000000"/>
          </w:rPr>
          <w:t>@</w:t>
        </w:r>
        <w:r w:rsidR="00B41CF3" w:rsidRPr="001D4F6E">
          <w:rPr>
            <w:rStyle w:val="a9"/>
            <w:color w:val="000000"/>
            <w:lang w:val="en-US"/>
          </w:rPr>
          <w:t>my</w:t>
        </w:r>
        <w:r w:rsidR="00B41CF3" w:rsidRPr="001D4F6E">
          <w:rPr>
            <w:rStyle w:val="a9"/>
            <w:color w:val="000000"/>
          </w:rPr>
          <w:t>.</w:t>
        </w:r>
        <w:r w:rsidR="00B41CF3" w:rsidRPr="001D4F6E">
          <w:rPr>
            <w:rStyle w:val="a9"/>
            <w:color w:val="000000"/>
            <w:lang w:val="en-US"/>
          </w:rPr>
          <w:t>msu</w:t>
        </w:r>
        <w:r w:rsidR="00B41CF3" w:rsidRPr="001D4F6E">
          <w:rPr>
            <w:rStyle w:val="a9"/>
            <w:color w:val="000000"/>
          </w:rPr>
          <w:t>.</w:t>
        </w:r>
        <w:r w:rsidR="00B41CF3" w:rsidRPr="001D4F6E">
          <w:rPr>
            <w:rStyle w:val="a9"/>
            <w:color w:val="000000"/>
            <w:lang w:val="en-US"/>
          </w:rPr>
          <w:t>ru</w:t>
        </w:r>
      </w:hyperlink>
    </w:p>
    <w:p w14:paraId="03223DC9" w14:textId="02910738" w:rsidR="007C36D8" w:rsidRDefault="00A55AB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9612B">
        <w:t xml:space="preserve">Спектроскопия гигантского комбинационного рассеяния (ГКР) является перспективным методом детектирования и определения органических соединений в малых концентрациях. На сегодняшний день для реализации данного метода широко используются подложки с наночастицами металлов (преимущественно золота и серебра), усиление </w:t>
      </w:r>
      <w:proofErr w:type="gramStart"/>
      <w:r w:rsidRPr="00D9612B">
        <w:t>КР-сигнала</w:t>
      </w:r>
      <w:proofErr w:type="gramEnd"/>
      <w:r w:rsidRPr="00D9612B">
        <w:t xml:space="preserve"> на которых происходит в результате возбуждения поверхностного плазмонного резонанса</w:t>
      </w:r>
      <w:r>
        <w:t xml:space="preserve"> на металлических частицах</w:t>
      </w:r>
      <w:r w:rsidRPr="00D9612B">
        <w:t>.</w:t>
      </w:r>
      <w:r>
        <w:t xml:space="preserve"> </w:t>
      </w:r>
      <w:r w:rsidRPr="00D9612B">
        <w:t>Одной из актуальных задач при создании подобных материалов является получение подложек с равномерным распределением металлических наночастиц по всей поверхности, что может обеспечить воспроизводимость сигнала ГКР, необходимую для аналитических приложений.</w:t>
      </w:r>
    </w:p>
    <w:p w14:paraId="10CEA213" w14:textId="622C6541" w:rsidR="00A55AB4" w:rsidRPr="00A55AB4" w:rsidRDefault="00A55AB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12B">
        <w:t xml:space="preserve">Перспективным подходом для получения подложек с равномерным распределением металлических наночастиц по поверхности является </w:t>
      </w:r>
      <w:r>
        <w:t xml:space="preserve">модификация поверхности частицами </w:t>
      </w:r>
      <w:r w:rsidRPr="00D9612B">
        <w:t>полупроводник</w:t>
      </w:r>
      <w:r>
        <w:t>а</w:t>
      </w:r>
      <w:r w:rsidRPr="00D9612B">
        <w:t xml:space="preserve">. В качестве </w:t>
      </w:r>
      <w:r>
        <w:t>такого</w:t>
      </w:r>
      <w:r w:rsidRPr="00D9612B">
        <w:t xml:space="preserve"> материала могут быть использованы нанолисты оксида</w:t>
      </w:r>
      <w:r>
        <w:t xml:space="preserve"> титана</w:t>
      </w:r>
      <w:r w:rsidRPr="00D9612B">
        <w:t xml:space="preserve">, </w:t>
      </w:r>
      <w:r>
        <w:t xml:space="preserve">которые </w:t>
      </w:r>
      <w:r w:rsidRPr="00D9612B">
        <w:t>характеризую</w:t>
      </w:r>
      <w:r>
        <w:t>тся</w:t>
      </w:r>
      <w:r w:rsidRPr="00D9612B">
        <w:t xml:space="preserve"> большими латеральными размерами, а также способно</w:t>
      </w:r>
      <w:r>
        <w:t>стью</w:t>
      </w:r>
      <w:r w:rsidRPr="00D9612B">
        <w:t xml:space="preserve"> обеспечивать хороший контакт с частицами металла. Кроме того, за счет высокой фотокаталитической активности </w:t>
      </w:r>
      <w:r w:rsidRPr="00D9612B">
        <w:rPr>
          <w:lang w:val="en-US"/>
        </w:rPr>
        <w:t>TiO</w:t>
      </w:r>
      <w:r w:rsidRPr="00D9612B">
        <w:rPr>
          <w:vertAlign w:val="subscript"/>
        </w:rPr>
        <w:t>2</w:t>
      </w:r>
      <w:r w:rsidRPr="00D9612B">
        <w:t xml:space="preserve"> возможно окисление исследуемых органических соединений под действием УФ-излучения, и как следствие </w:t>
      </w:r>
      <w:r>
        <w:t>возможно получение подложек для многократного использования</w:t>
      </w:r>
      <w:r w:rsidRPr="00D9612B">
        <w:t>.</w:t>
      </w:r>
    </w:p>
    <w:p w14:paraId="395D2D62" w14:textId="77777777" w:rsidR="001D4F6E" w:rsidRPr="001D4F6E" w:rsidRDefault="00A55AB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D4F6E">
        <w:rPr>
          <w:color w:val="000000"/>
        </w:rPr>
        <w:t xml:space="preserve">В работе представлен </w:t>
      </w:r>
      <w:r w:rsidR="003F77D4" w:rsidRPr="001D4F6E">
        <w:rPr>
          <w:color w:val="000000"/>
        </w:rPr>
        <w:t xml:space="preserve">многостадийный </w:t>
      </w:r>
      <w:r w:rsidRPr="001D4F6E">
        <w:rPr>
          <w:color w:val="000000"/>
        </w:rPr>
        <w:t xml:space="preserve">синтез композитов на основе диоксида титана и наночастиц золота </w:t>
      </w:r>
      <w:r w:rsidR="003F77D4" w:rsidRPr="001D4F6E">
        <w:rPr>
          <w:color w:val="000000"/>
        </w:rPr>
        <w:t xml:space="preserve">и </w:t>
      </w:r>
      <w:r w:rsidRPr="001D4F6E">
        <w:rPr>
          <w:color w:val="000000"/>
        </w:rPr>
        <w:t>серебра</w:t>
      </w:r>
      <w:r w:rsidR="003F77D4" w:rsidRPr="001D4F6E">
        <w:rPr>
          <w:color w:val="000000"/>
        </w:rPr>
        <w:t xml:space="preserve">. </w:t>
      </w:r>
      <w:r w:rsidR="00AD33AC" w:rsidRPr="001D4F6E">
        <w:rPr>
          <w:color w:val="000000"/>
        </w:rPr>
        <w:t>Расслоением титаната цезия в растворе четвертичных аммонийных оснований были получены с</w:t>
      </w:r>
      <w:r w:rsidR="003F77D4" w:rsidRPr="001D4F6E">
        <w:rPr>
          <w:color w:val="000000"/>
        </w:rPr>
        <w:t xml:space="preserve">успензии нанолистов </w:t>
      </w:r>
      <w:r w:rsidR="003F77D4" w:rsidRPr="001D4F6E">
        <w:rPr>
          <w:color w:val="000000"/>
          <w:lang w:val="en-US"/>
        </w:rPr>
        <w:t>TiO</w:t>
      </w:r>
      <w:r w:rsidR="003F77D4" w:rsidRPr="001D4F6E">
        <w:rPr>
          <w:color w:val="000000"/>
          <w:vertAlign w:val="subscript"/>
        </w:rPr>
        <w:t>2</w:t>
      </w:r>
      <w:r w:rsidR="003F77D4" w:rsidRPr="001D4F6E">
        <w:rPr>
          <w:color w:val="000000"/>
        </w:rPr>
        <w:t>, которые затем наносили на стеклянную подложку.</w:t>
      </w:r>
      <w:r w:rsidR="00B24C8C" w:rsidRPr="001D4F6E">
        <w:rPr>
          <w:color w:val="000000"/>
        </w:rPr>
        <w:t xml:space="preserve"> Дальнейшее осаждение частиц серебра </w:t>
      </w:r>
      <w:r w:rsidR="00A01CE5" w:rsidRPr="001D4F6E">
        <w:rPr>
          <w:color w:val="000000"/>
        </w:rPr>
        <w:t xml:space="preserve">проводили </w:t>
      </w:r>
      <w:r w:rsidR="00B24C8C" w:rsidRPr="001D4F6E">
        <w:rPr>
          <w:color w:val="000000"/>
        </w:rPr>
        <w:t>из растворов AgNO</w:t>
      </w:r>
      <w:r w:rsidR="00B24C8C" w:rsidRPr="001D4F6E">
        <w:rPr>
          <w:color w:val="000000"/>
          <w:vertAlign w:val="subscript"/>
        </w:rPr>
        <w:t>3</w:t>
      </w:r>
      <w:r w:rsidR="00B24C8C" w:rsidRPr="001D4F6E">
        <w:rPr>
          <w:color w:val="000000"/>
        </w:rPr>
        <w:t xml:space="preserve"> с использованием восстановителя NaBH</w:t>
      </w:r>
      <w:r w:rsidR="00B24C8C" w:rsidRPr="001D4F6E">
        <w:rPr>
          <w:color w:val="000000"/>
          <w:vertAlign w:val="subscript"/>
        </w:rPr>
        <w:t>4</w:t>
      </w:r>
      <w:r w:rsidR="00A01CE5" w:rsidRPr="001D4F6E">
        <w:rPr>
          <w:color w:val="000000"/>
        </w:rPr>
        <w:t xml:space="preserve"> и ряда стабилизаторов, таких как </w:t>
      </w:r>
      <w:r w:rsidR="00B24C8C" w:rsidRPr="001D4F6E">
        <w:rPr>
          <w:color w:val="000000"/>
        </w:rPr>
        <w:t xml:space="preserve">поливинилпирролидон (ПВП), </w:t>
      </w:r>
      <w:r w:rsidR="00A01CE5" w:rsidRPr="001D4F6E">
        <w:rPr>
          <w:color w:val="000000"/>
        </w:rPr>
        <w:t xml:space="preserve">цетилтриметиламмония </w:t>
      </w:r>
      <w:r w:rsidR="00B24C8C" w:rsidRPr="001D4F6E">
        <w:rPr>
          <w:color w:val="000000"/>
        </w:rPr>
        <w:t>бромид (ЦТАБ) и цитрат натрия (Na</w:t>
      </w:r>
      <w:r w:rsidR="00B24C8C" w:rsidRPr="001D4F6E">
        <w:rPr>
          <w:color w:val="000000"/>
          <w:vertAlign w:val="subscript"/>
        </w:rPr>
        <w:t>3</w:t>
      </w:r>
      <w:r w:rsidR="00B24C8C" w:rsidRPr="001D4F6E">
        <w:rPr>
          <w:color w:val="000000"/>
        </w:rPr>
        <w:t>Cit). Для</w:t>
      </w:r>
      <w:r w:rsidR="00A068C9" w:rsidRPr="001D4F6E">
        <w:rPr>
          <w:color w:val="000000"/>
        </w:rPr>
        <w:t xml:space="preserve"> усиления сигнала комбинационного </w:t>
      </w:r>
      <w:r w:rsidR="007E71E9" w:rsidRPr="001D4F6E">
        <w:rPr>
          <w:color w:val="000000"/>
        </w:rPr>
        <w:t xml:space="preserve">рассеяния </w:t>
      </w:r>
      <w:r w:rsidR="00250783" w:rsidRPr="001D4F6E">
        <w:rPr>
          <w:color w:val="000000"/>
        </w:rPr>
        <w:t xml:space="preserve">были получены подложки с нанесенными </w:t>
      </w:r>
      <w:r w:rsidR="00A068C9" w:rsidRPr="001D4F6E">
        <w:rPr>
          <w:color w:val="000000"/>
        </w:rPr>
        <w:t>биметаллически</w:t>
      </w:r>
      <w:r w:rsidR="00250783" w:rsidRPr="001D4F6E">
        <w:rPr>
          <w:color w:val="000000"/>
        </w:rPr>
        <w:t>ми</w:t>
      </w:r>
      <w:r w:rsidR="00A068C9" w:rsidRPr="001D4F6E">
        <w:rPr>
          <w:color w:val="000000"/>
        </w:rPr>
        <w:t xml:space="preserve"> наночастиц</w:t>
      </w:r>
      <w:r w:rsidR="00250783" w:rsidRPr="001D4F6E">
        <w:rPr>
          <w:color w:val="000000"/>
        </w:rPr>
        <w:t>ами</w:t>
      </w:r>
      <w:r w:rsidR="00A068C9" w:rsidRPr="001D4F6E">
        <w:rPr>
          <w:color w:val="000000"/>
        </w:rPr>
        <w:t xml:space="preserve"> </w:t>
      </w:r>
      <w:proofErr w:type="spellStart"/>
      <w:r w:rsidR="00B24C8C" w:rsidRPr="001D4F6E">
        <w:rPr>
          <w:color w:val="000000"/>
        </w:rPr>
        <w:t>Ag@Au</w:t>
      </w:r>
      <w:proofErr w:type="spellEnd"/>
      <w:r w:rsidR="00250783" w:rsidRPr="001D4F6E">
        <w:rPr>
          <w:color w:val="000000"/>
        </w:rPr>
        <w:t>. Д</w:t>
      </w:r>
      <w:r w:rsidR="007E71E9" w:rsidRPr="001D4F6E">
        <w:rPr>
          <w:color w:val="000000"/>
        </w:rPr>
        <w:t xml:space="preserve">оращивание </w:t>
      </w:r>
      <w:r w:rsidR="00250783" w:rsidRPr="001D4F6E">
        <w:rPr>
          <w:color w:val="000000"/>
        </w:rPr>
        <w:t xml:space="preserve">слоя золота на </w:t>
      </w:r>
      <w:r w:rsidR="007E71E9" w:rsidRPr="001D4F6E">
        <w:rPr>
          <w:color w:val="000000"/>
        </w:rPr>
        <w:t xml:space="preserve">поверхности </w:t>
      </w:r>
      <w:r w:rsidR="00B91550" w:rsidRPr="001D4F6E">
        <w:rPr>
          <w:color w:val="000000"/>
        </w:rPr>
        <w:t xml:space="preserve">осажденных </w:t>
      </w:r>
      <w:r w:rsidR="00A068C9" w:rsidRPr="001D4F6E">
        <w:rPr>
          <w:color w:val="000000"/>
        </w:rPr>
        <w:t xml:space="preserve">на диоксид титана наночастиц </w:t>
      </w:r>
      <w:r w:rsidR="00B24C8C" w:rsidRPr="001D4F6E">
        <w:rPr>
          <w:color w:val="000000"/>
        </w:rPr>
        <w:t xml:space="preserve">серебра </w:t>
      </w:r>
      <w:r w:rsidR="00250783" w:rsidRPr="001D4F6E">
        <w:rPr>
          <w:color w:val="000000"/>
        </w:rPr>
        <w:t xml:space="preserve">проводили </w:t>
      </w:r>
      <w:r w:rsidR="00B24C8C" w:rsidRPr="001D4F6E">
        <w:rPr>
          <w:color w:val="000000"/>
        </w:rPr>
        <w:t>в раствор</w:t>
      </w:r>
      <w:r w:rsidR="00F367D2" w:rsidRPr="001D4F6E">
        <w:rPr>
          <w:color w:val="000000"/>
        </w:rPr>
        <w:t>е</w:t>
      </w:r>
      <w:r w:rsidR="00B24C8C" w:rsidRPr="001D4F6E">
        <w:rPr>
          <w:color w:val="000000"/>
        </w:rPr>
        <w:t xml:space="preserve"> HAuCl</w:t>
      </w:r>
      <w:r w:rsidR="00B24C8C" w:rsidRPr="001D4F6E">
        <w:rPr>
          <w:color w:val="000000"/>
          <w:vertAlign w:val="subscript"/>
        </w:rPr>
        <w:t>4</w:t>
      </w:r>
      <w:r w:rsidR="00250783" w:rsidRPr="001D4F6E">
        <w:rPr>
          <w:color w:val="000000"/>
        </w:rPr>
        <w:t xml:space="preserve"> с </w:t>
      </w:r>
      <w:r w:rsidR="00E040D3" w:rsidRPr="001D4F6E">
        <w:rPr>
          <w:color w:val="000000"/>
        </w:rPr>
        <w:t>добавлением аскорбиновой кислоты и ЦТАБ</w:t>
      </w:r>
      <w:r w:rsidR="00B24C8C" w:rsidRPr="001D4F6E">
        <w:rPr>
          <w:color w:val="000000"/>
        </w:rPr>
        <w:t>. Морфологию полученных композитных подложек исследовали методами РЭМ и АСМ, ГКР-активность изучалась методом КР-спектроскопии с использованием аналита Р6Ж.</w:t>
      </w:r>
    </w:p>
    <w:p w14:paraId="389BEF6D" w14:textId="72B2D3F3" w:rsidR="00572DE9" w:rsidRDefault="00572DE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Наибольшее усиление ГКР-сигнала </w:t>
      </w:r>
      <w:r w:rsidR="00705082">
        <w:t xml:space="preserve">продемонстрировали </w:t>
      </w:r>
      <w:r>
        <w:t>композиты Ag/TiO</w:t>
      </w:r>
      <w:r w:rsidRPr="003E7945">
        <w:rPr>
          <w:vertAlign w:val="subscript"/>
        </w:rPr>
        <w:t>2</w:t>
      </w:r>
      <w:r>
        <w:t xml:space="preserve">, </w:t>
      </w:r>
      <w:r w:rsidR="00705082">
        <w:t xml:space="preserve">синтезированные </w:t>
      </w:r>
      <w:r>
        <w:t xml:space="preserve">с </w:t>
      </w:r>
      <w:r w:rsidR="00705082">
        <w:t xml:space="preserve">использованием </w:t>
      </w:r>
      <w:r>
        <w:t>ЦТАБ в соотношении ν(Ag</w:t>
      </w:r>
      <w:r w:rsidRPr="00D9612B">
        <w:rPr>
          <w:vertAlign w:val="superscript"/>
        </w:rPr>
        <w:t>+</w:t>
      </w:r>
      <w:r w:rsidRPr="00D55A6B">
        <w:t>)</w:t>
      </w:r>
      <w:r>
        <w:t>/ν(ЦТАБ) = 1:10, коэффициент усиления при проведении анализа модельного аналита достигает (6,4</w:t>
      </w:r>
      <w:r w:rsidRPr="006524A5">
        <w:t>±</w:t>
      </w:r>
      <w:r>
        <w:t>5,</w:t>
      </w:r>
      <w:proofErr w:type="gramStart"/>
      <w:r>
        <w:t>0)·</w:t>
      </w:r>
      <w:proofErr w:type="gramEnd"/>
      <w:r>
        <w:t>10</w:t>
      </w:r>
      <w:r w:rsidRPr="00D9612B">
        <w:rPr>
          <w:vertAlign w:val="superscript"/>
        </w:rPr>
        <w:t>4</w:t>
      </w:r>
      <w:r>
        <w:t>. В то же время, наиболее равномерное распределение частиц металла по поверхности удалось получить при совместном использовании NaBH</w:t>
      </w:r>
      <w:r w:rsidRPr="003E7945">
        <w:rPr>
          <w:vertAlign w:val="subscript"/>
        </w:rPr>
        <w:t>4</w:t>
      </w:r>
      <w:r>
        <w:t xml:space="preserve"> и Na</w:t>
      </w:r>
      <w:r w:rsidRPr="003E7945">
        <w:rPr>
          <w:vertAlign w:val="subscript"/>
        </w:rPr>
        <w:t>3</w:t>
      </w:r>
      <w:r>
        <w:t>Cit в соотношении ν(Ag</w:t>
      </w:r>
      <w:r w:rsidRPr="00D55A6B">
        <w:rPr>
          <w:vertAlign w:val="superscript"/>
        </w:rPr>
        <w:t>+</w:t>
      </w:r>
      <w:r>
        <w:t>)/ν(Na</w:t>
      </w:r>
      <w:r w:rsidRPr="00D9612B">
        <w:rPr>
          <w:vertAlign w:val="subscript"/>
        </w:rPr>
        <w:t>3</w:t>
      </w:r>
      <w:r>
        <w:t>Cit) = 1:1, за счет чего данные поверхности являются также перспективным для дальнейшего доращивания наночастиц золота на наночастицах серебра. Рост наночастиц золота на подложках с наночастицами серебра приводит к значительному увеличению ГКР-активности, коэффициент усиления достигает (1,6±0,</w:t>
      </w:r>
      <w:proofErr w:type="gramStart"/>
      <w:r>
        <w:t>4)·</w:t>
      </w:r>
      <w:proofErr w:type="gramEnd"/>
      <w:r>
        <w:t>10</w:t>
      </w:r>
      <w:r w:rsidRPr="00D9612B">
        <w:rPr>
          <w:vertAlign w:val="superscript"/>
        </w:rPr>
        <w:t>5</w:t>
      </w:r>
      <w:r>
        <w:t>. Варьированием условий роста наночастиц было установлено, что относительно высоким и равномерным сигналом обладают образцы с низким содержанием HAuCl</w:t>
      </w:r>
      <w:r w:rsidRPr="006524A5">
        <w:rPr>
          <w:vertAlign w:val="subscript"/>
        </w:rPr>
        <w:t>4</w:t>
      </w:r>
      <w:r>
        <w:t xml:space="preserve"> в растворе при доращивании частиц металла</w:t>
      </w:r>
      <w:r w:rsidR="00337BA5">
        <w:t>, при этом концентрация золота в составе биметаллических наночастиц не превышает 10%</w:t>
      </w:r>
      <w:r>
        <w:t>.</w:t>
      </w:r>
    </w:p>
    <w:sectPr w:rsidR="00572DE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856166">
    <w:abstractNumId w:val="0"/>
  </w:num>
  <w:num w:numId="2" w16cid:durableId="55601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405"/>
    <w:rsid w:val="00063966"/>
    <w:rsid w:val="00086081"/>
    <w:rsid w:val="00101A1C"/>
    <w:rsid w:val="00103657"/>
    <w:rsid w:val="00106375"/>
    <w:rsid w:val="00116478"/>
    <w:rsid w:val="00130241"/>
    <w:rsid w:val="001D4F6E"/>
    <w:rsid w:val="001E61C2"/>
    <w:rsid w:val="001F0493"/>
    <w:rsid w:val="002264EE"/>
    <w:rsid w:val="0023307C"/>
    <w:rsid w:val="00250783"/>
    <w:rsid w:val="0031361E"/>
    <w:rsid w:val="00336A8B"/>
    <w:rsid w:val="00337BA5"/>
    <w:rsid w:val="00391C38"/>
    <w:rsid w:val="003B76D6"/>
    <w:rsid w:val="003E4280"/>
    <w:rsid w:val="003F77D4"/>
    <w:rsid w:val="004A26A3"/>
    <w:rsid w:val="004E2445"/>
    <w:rsid w:val="004F0EDF"/>
    <w:rsid w:val="00522BF1"/>
    <w:rsid w:val="00557E02"/>
    <w:rsid w:val="00572DE9"/>
    <w:rsid w:val="00590166"/>
    <w:rsid w:val="005D022B"/>
    <w:rsid w:val="005E5BE9"/>
    <w:rsid w:val="005F36B6"/>
    <w:rsid w:val="00616FDC"/>
    <w:rsid w:val="0069427D"/>
    <w:rsid w:val="006A56FD"/>
    <w:rsid w:val="006F7A19"/>
    <w:rsid w:val="00705082"/>
    <w:rsid w:val="007213E1"/>
    <w:rsid w:val="00767EC9"/>
    <w:rsid w:val="00775389"/>
    <w:rsid w:val="00797838"/>
    <w:rsid w:val="007C36D8"/>
    <w:rsid w:val="007E71E9"/>
    <w:rsid w:val="007F2744"/>
    <w:rsid w:val="008931BE"/>
    <w:rsid w:val="008C5C5E"/>
    <w:rsid w:val="008C67E3"/>
    <w:rsid w:val="00921D45"/>
    <w:rsid w:val="009A66DB"/>
    <w:rsid w:val="009B2F80"/>
    <w:rsid w:val="009B3300"/>
    <w:rsid w:val="009F3380"/>
    <w:rsid w:val="00A01CE5"/>
    <w:rsid w:val="00A02163"/>
    <w:rsid w:val="00A068C9"/>
    <w:rsid w:val="00A314FE"/>
    <w:rsid w:val="00A55AB4"/>
    <w:rsid w:val="00AD33AC"/>
    <w:rsid w:val="00B24C8C"/>
    <w:rsid w:val="00B41CF3"/>
    <w:rsid w:val="00B91550"/>
    <w:rsid w:val="00BF36F8"/>
    <w:rsid w:val="00BF4622"/>
    <w:rsid w:val="00CD00B1"/>
    <w:rsid w:val="00D22306"/>
    <w:rsid w:val="00D30D92"/>
    <w:rsid w:val="00D42542"/>
    <w:rsid w:val="00D8121C"/>
    <w:rsid w:val="00E040D3"/>
    <w:rsid w:val="00E22189"/>
    <w:rsid w:val="00E74069"/>
    <w:rsid w:val="00EB1F49"/>
    <w:rsid w:val="00EF350E"/>
    <w:rsid w:val="00F367D2"/>
    <w:rsid w:val="00F8272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orinea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Иван Chernoukhov</cp:lastModifiedBy>
  <cp:revision>3</cp:revision>
  <dcterms:created xsi:type="dcterms:W3CDTF">2025-03-22T23:57:00Z</dcterms:created>
  <dcterms:modified xsi:type="dcterms:W3CDTF">2025-03-22T23:57:00Z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