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A316" w14:textId="77777777" w:rsidR="0023771D" w:rsidRDefault="003B1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B12DE">
        <w:rPr>
          <w:b/>
          <w:color w:val="000000"/>
        </w:rPr>
        <w:t>Исследование кинетики процесса синтеза микросфер диоксида кремния в</w:t>
      </w:r>
      <w:r>
        <w:rPr>
          <w:b/>
          <w:color w:val="000000"/>
          <w:lang w:val="mn-MN"/>
        </w:rPr>
        <w:t xml:space="preserve"> </w:t>
      </w:r>
      <w:proofErr w:type="spellStart"/>
      <w:r w:rsidRPr="003B12DE">
        <w:rPr>
          <w:b/>
          <w:color w:val="000000"/>
        </w:rPr>
        <w:t>наноинженерии</w:t>
      </w:r>
      <w:proofErr w:type="spellEnd"/>
    </w:p>
    <w:p w14:paraId="00000002" w14:textId="1267B15B" w:rsidR="00130241" w:rsidRPr="00280952" w:rsidRDefault="003B1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mn-MN"/>
        </w:rPr>
        <w:t xml:space="preserve">Баянзул </w:t>
      </w:r>
      <w:r w:rsidR="00EB1F49">
        <w:rPr>
          <w:b/>
          <w:i/>
          <w:color w:val="000000"/>
        </w:rPr>
        <w:t>А.</w:t>
      </w:r>
    </w:p>
    <w:p w14:paraId="7B4B9422" w14:textId="77777777" w:rsidR="002377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</w:rPr>
        <w:t xml:space="preserve">Студент, 4 курс </w:t>
      </w:r>
      <w:r w:rsidR="003B12DE" w:rsidRPr="0023307C">
        <w:rPr>
          <w:i/>
          <w:iCs/>
          <w:color w:val="000000"/>
        </w:rPr>
        <w:t>бакалавриата</w:t>
      </w:r>
    </w:p>
    <w:p w14:paraId="00000005" w14:textId="317E962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</w:t>
      </w:r>
      <w:r w:rsidR="003B12DE" w:rsidRPr="003B12DE">
        <w:rPr>
          <w:i/>
          <w:color w:val="000000"/>
        </w:rPr>
        <w:t xml:space="preserve"> </w:t>
      </w:r>
      <w:r w:rsidR="003B12DE">
        <w:rPr>
          <w:i/>
          <w:color w:val="000000"/>
          <w:lang w:val="mn-MN"/>
        </w:rPr>
        <w:t>технический</w:t>
      </w:r>
      <w:r>
        <w:rPr>
          <w:i/>
          <w:color w:val="000000"/>
        </w:rPr>
        <w:t xml:space="preserve"> университет имени</w:t>
      </w:r>
      <w:r w:rsidR="003B12DE">
        <w:rPr>
          <w:i/>
          <w:color w:val="000000"/>
          <w:lang w:val="mn-MN"/>
        </w:rPr>
        <w:t xml:space="preserve"> Н.Э.Баумана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B12DE">
        <w:rPr>
          <w:i/>
          <w:color w:val="000000"/>
          <w:lang w:val="mn-MN"/>
        </w:rPr>
        <w:t>машиностроительный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81418BA" w:rsidR="00130241" w:rsidRPr="002E19A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19AF">
        <w:rPr>
          <w:i/>
          <w:color w:val="000000"/>
          <w:lang w:val="en-US"/>
        </w:rPr>
        <w:t>E</w:t>
      </w:r>
      <w:r w:rsidR="003B76D6" w:rsidRPr="002E19AF">
        <w:rPr>
          <w:i/>
          <w:color w:val="000000"/>
        </w:rPr>
        <w:t>-</w:t>
      </w:r>
      <w:r w:rsidRPr="002E19AF">
        <w:rPr>
          <w:i/>
          <w:color w:val="000000"/>
          <w:lang w:val="en-US"/>
        </w:rPr>
        <w:t>mail</w:t>
      </w:r>
      <w:r w:rsidRPr="002E19AF">
        <w:rPr>
          <w:i/>
          <w:color w:val="000000"/>
        </w:rPr>
        <w:t xml:space="preserve">: </w:t>
      </w:r>
      <w:hyperlink r:id="rId6" w:history="1">
        <w:r w:rsidR="00B14E92" w:rsidRPr="0023771D">
          <w:rPr>
            <w:rStyle w:val="a9"/>
            <w:i/>
            <w:color w:val="000000" w:themeColor="text1"/>
            <w:lang w:val="en-US"/>
          </w:rPr>
          <w:t>amikamina</w:t>
        </w:r>
        <w:r w:rsidR="00B14E92" w:rsidRPr="0023771D">
          <w:rPr>
            <w:rStyle w:val="a9"/>
            <w:i/>
            <w:color w:val="000000" w:themeColor="text1"/>
          </w:rPr>
          <w:t>264@</w:t>
        </w:r>
        <w:r w:rsidR="00B14E92" w:rsidRPr="0023771D">
          <w:rPr>
            <w:rStyle w:val="a9"/>
            <w:i/>
            <w:color w:val="000000" w:themeColor="text1"/>
            <w:lang w:val="en-US"/>
          </w:rPr>
          <w:t>gmail</w:t>
        </w:r>
        <w:r w:rsidR="00B14E92" w:rsidRPr="0023771D">
          <w:rPr>
            <w:rStyle w:val="a9"/>
            <w:i/>
            <w:color w:val="000000" w:themeColor="text1"/>
          </w:rPr>
          <w:t>.</w:t>
        </w:r>
        <w:r w:rsidR="00B14E92" w:rsidRPr="0023771D">
          <w:rPr>
            <w:rStyle w:val="a9"/>
            <w:i/>
            <w:color w:val="000000" w:themeColor="text1"/>
            <w:lang w:val="en-US"/>
          </w:rPr>
          <w:t>com</w:t>
        </w:r>
      </w:hyperlink>
    </w:p>
    <w:p w14:paraId="5AF758D1" w14:textId="77BCC9C3" w:rsidR="00FB61C6" w:rsidRPr="00BB1C6A" w:rsidRDefault="00280952" w:rsidP="00BB1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lang w:val="mn-MN"/>
        </w:rPr>
        <w:t>С</w:t>
      </w:r>
      <w:r w:rsidR="00BE3A0F">
        <w:rPr>
          <w:lang w:val="mn-MN"/>
        </w:rPr>
        <w:t>ферические частицы</w:t>
      </w:r>
      <w:r>
        <w:rPr>
          <w:lang w:val="mn-MN"/>
        </w:rPr>
        <w:t xml:space="preserve"> диоксида кремния </w:t>
      </w:r>
      <w:r w:rsidRPr="00280952">
        <w:t>(</w:t>
      </w:r>
      <w:r>
        <w:rPr>
          <w:lang w:val="mn-MN"/>
        </w:rPr>
        <w:t>СЧДК</w:t>
      </w:r>
      <w:r w:rsidRPr="00280952">
        <w:t>)</w:t>
      </w:r>
      <w:r w:rsidR="00BE3A0F">
        <w:rPr>
          <w:lang w:val="mn-MN"/>
        </w:rPr>
        <w:t xml:space="preserve">, способны к самоорганизации в упорядоченные структуры, демонстриуют потенциал как перспективный материал для современной наноинженерии. </w:t>
      </w:r>
      <w:r w:rsidR="00D210E4">
        <w:t>Существует несколько методов синтеза</w:t>
      </w:r>
      <w:r>
        <w:rPr>
          <w:lang w:val="mn-MN"/>
        </w:rPr>
        <w:t xml:space="preserve"> СЧДК</w:t>
      </w:r>
      <w:r w:rsidR="00D210E4">
        <w:t xml:space="preserve">, среди которых наиболее часто используются сферы неорганического кремнезема, полученные по методу </w:t>
      </w:r>
      <w:r w:rsidR="00D210E4">
        <w:rPr>
          <w:lang w:val="mn-MN"/>
        </w:rPr>
        <w:t>Ш</w:t>
      </w:r>
      <w:proofErr w:type="spellStart"/>
      <w:r w:rsidR="00D210E4">
        <w:t>тобера</w:t>
      </w:r>
      <w:proofErr w:type="spellEnd"/>
      <w:r w:rsidR="00D210E4">
        <w:t xml:space="preserve"> [1].</w:t>
      </w:r>
      <w:r w:rsidR="00C25D89">
        <w:rPr>
          <w:lang w:val="mn-MN"/>
        </w:rPr>
        <w:t xml:space="preserve"> Данный метод основан на гидролизе эфира ортокремниевой кислоты ТЭОС в присутствии этанола и аммиака</w:t>
      </w:r>
      <w:r>
        <w:rPr>
          <w:lang w:val="mn-MN"/>
        </w:rPr>
        <w:t>. СЧДК</w:t>
      </w:r>
      <w:r w:rsidR="00D210E4">
        <w:t xml:space="preserve"> были синтезированы путем гидролиза</w:t>
      </w:r>
      <w:r w:rsidR="00FB61C6">
        <w:rPr>
          <w:lang w:val="mn-MN"/>
        </w:rPr>
        <w:t xml:space="preserve"> ТЭОС </w:t>
      </w:r>
      <w:r w:rsidR="00D210E4">
        <w:t>и поликонденсации</w:t>
      </w:r>
      <w:r w:rsidR="00FB61C6">
        <w:rPr>
          <w:lang w:val="mn-MN"/>
        </w:rPr>
        <w:t xml:space="preserve"> гидроксила кремния</w:t>
      </w:r>
      <w:r>
        <w:rPr>
          <w:lang w:val="mn-MN"/>
        </w:rPr>
        <w:t>.</w:t>
      </w:r>
    </w:p>
    <w:p w14:paraId="3C6FDD96" w14:textId="63CEF98D" w:rsidR="00FB61C6" w:rsidRDefault="00FB61C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mn-MN"/>
        </w:rPr>
      </w:pPr>
      <w:r>
        <w:rPr>
          <w:color w:val="000000"/>
          <w:lang w:val="mn-MN"/>
        </w:rPr>
        <w:t>Исследования синтеза</w:t>
      </w:r>
      <w:r w:rsidR="00BB1C6A">
        <w:rPr>
          <w:color w:val="000000"/>
          <w:lang w:val="mn-MN"/>
        </w:rPr>
        <w:t xml:space="preserve"> </w:t>
      </w:r>
      <w:r w:rsidR="00280952">
        <w:rPr>
          <w:color w:val="000000"/>
          <w:lang w:val="mn-MN"/>
        </w:rPr>
        <w:t>СЧДК</w:t>
      </w:r>
      <w:r>
        <w:rPr>
          <w:color w:val="000000"/>
          <w:lang w:val="mn-MN"/>
        </w:rPr>
        <w:t xml:space="preserve"> по методу Штобера</w:t>
      </w:r>
      <w:r w:rsidR="00BB1C6A">
        <w:rPr>
          <w:color w:val="000000"/>
          <w:lang w:val="mn-MN"/>
        </w:rPr>
        <w:t xml:space="preserve"> </w:t>
      </w:r>
      <w:r w:rsidRPr="00FB61C6">
        <w:rPr>
          <w:color w:val="000000"/>
        </w:rPr>
        <w:t>[</w:t>
      </w:r>
      <w:r w:rsidR="001F6103" w:rsidRPr="001F6103">
        <w:rPr>
          <w:color w:val="000000"/>
        </w:rPr>
        <w:t>1</w:t>
      </w:r>
      <w:r w:rsidRPr="00FB61C6">
        <w:rPr>
          <w:color w:val="000000"/>
        </w:rPr>
        <w:t xml:space="preserve">] </w:t>
      </w:r>
      <w:r>
        <w:rPr>
          <w:color w:val="000000"/>
          <w:lang w:val="mn-MN"/>
        </w:rPr>
        <w:t>показывают, что</w:t>
      </w:r>
      <w:r w:rsidR="00BB1C6A">
        <w:rPr>
          <w:color w:val="000000"/>
          <w:lang w:val="mn-MN"/>
        </w:rPr>
        <w:t xml:space="preserve"> о</w:t>
      </w:r>
      <w:r w:rsidR="00F7377F">
        <w:rPr>
          <w:color w:val="000000"/>
          <w:lang w:val="mn-MN"/>
        </w:rPr>
        <w:t>собое значение имеет концентрация аммиака</w:t>
      </w:r>
      <w:r w:rsidR="00BB1C6A">
        <w:rPr>
          <w:color w:val="000000"/>
          <w:lang w:val="mn-MN"/>
        </w:rPr>
        <w:t xml:space="preserve">, </w:t>
      </w:r>
      <w:r w:rsidR="00FE68A2" w:rsidRPr="00DD7CBA">
        <w:t xml:space="preserve">поскольку </w:t>
      </w:r>
      <w:r w:rsidR="00FE68A2">
        <w:t xml:space="preserve">она </w:t>
      </w:r>
      <w:r w:rsidR="00FE68A2" w:rsidRPr="00DD7CBA">
        <w:t xml:space="preserve">позволяет контролировать размер частиц за счет формирования диффузионного слоя </w:t>
      </w:r>
      <w:proofErr w:type="spellStart"/>
      <w:r w:rsidR="00FE68A2" w:rsidRPr="00DD7CBA">
        <w:t>мицел</w:t>
      </w:r>
      <w:proofErr w:type="spellEnd"/>
      <w:r w:rsidR="00FE68A2">
        <w:rPr>
          <w:lang w:val="mn-MN"/>
        </w:rPr>
        <w:t>л</w:t>
      </w:r>
      <w:r w:rsidR="00F7377F">
        <w:rPr>
          <w:lang w:val="mn-MN"/>
        </w:rPr>
        <w:t>, который эффективно контролирует рост частиц, позволяя получить более монодисперсные частицы диоксида кремния.</w:t>
      </w:r>
    </w:p>
    <w:p w14:paraId="54C44E15" w14:textId="6A02ABB4" w:rsidR="00BE3A0F" w:rsidRDefault="00B02AC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mn-MN"/>
        </w:rPr>
      </w:pPr>
      <w:r>
        <w:rPr>
          <w:color w:val="000000"/>
          <w:lang w:val="mn-MN"/>
        </w:rPr>
        <w:t>В</w:t>
      </w:r>
      <w:r w:rsidR="00EE4FBC">
        <w:rPr>
          <w:color w:val="000000"/>
          <w:lang w:val="mn-MN"/>
        </w:rPr>
        <w:t xml:space="preserve"> данной</w:t>
      </w:r>
      <w:r>
        <w:rPr>
          <w:color w:val="000000"/>
          <w:lang w:val="mn-MN"/>
        </w:rPr>
        <w:t xml:space="preserve"> работе исследуется влияние концентрации </w:t>
      </w:r>
      <w:r w:rsidR="00280952">
        <w:rPr>
          <w:color w:val="000000"/>
          <w:lang w:val="en-US"/>
        </w:rPr>
        <w:t>NH</w:t>
      </w:r>
      <w:r w:rsidR="00280952" w:rsidRPr="00F7377F">
        <w:rPr>
          <w:color w:val="000000"/>
          <w:vertAlign w:val="subscript"/>
        </w:rPr>
        <w:t>3</w:t>
      </w:r>
      <w:r>
        <w:rPr>
          <w:color w:val="000000"/>
          <w:lang w:val="mn-MN"/>
        </w:rPr>
        <w:t xml:space="preserve"> на размер синтезируемых частиц. Эксперимент</w:t>
      </w:r>
      <w:r w:rsidR="00EE4FBC">
        <w:rPr>
          <w:color w:val="000000"/>
          <w:lang w:val="mn-MN"/>
        </w:rPr>
        <w:t>ы</w:t>
      </w:r>
      <w:r>
        <w:rPr>
          <w:color w:val="000000"/>
          <w:lang w:val="mn-MN"/>
        </w:rPr>
        <w:t xml:space="preserve"> по получению </w:t>
      </w:r>
      <w:r w:rsidR="00280952">
        <w:rPr>
          <w:color w:val="000000"/>
          <w:lang w:val="mn-MN"/>
        </w:rPr>
        <w:t>СЧДК</w:t>
      </w:r>
      <w:r>
        <w:rPr>
          <w:color w:val="000000"/>
          <w:lang w:val="mn-MN"/>
        </w:rPr>
        <w:t xml:space="preserve"> </w:t>
      </w:r>
      <w:r w:rsidR="00EE4FBC">
        <w:rPr>
          <w:color w:val="000000"/>
          <w:lang w:val="mn-MN"/>
        </w:rPr>
        <w:t>проводились с варьированием концентрации</w:t>
      </w:r>
      <w:r w:rsidR="00280952">
        <w:rPr>
          <w:color w:val="000000"/>
          <w:lang w:val="mn-MN"/>
        </w:rPr>
        <w:t xml:space="preserve"> аммиака </w:t>
      </w:r>
      <w:r w:rsidR="00EE4FBC">
        <w:rPr>
          <w:color w:val="000000"/>
          <w:lang w:val="mn-MN"/>
        </w:rPr>
        <w:t xml:space="preserve">от </w:t>
      </w:r>
      <w:r w:rsidR="00EE4FBC" w:rsidRPr="00EE4FBC">
        <w:rPr>
          <w:color w:val="000000"/>
        </w:rPr>
        <w:t>0.1</w:t>
      </w:r>
      <w:r w:rsidR="00EE4FBC">
        <w:rPr>
          <w:color w:val="000000"/>
          <w:lang w:val="mn-MN"/>
        </w:rPr>
        <w:t xml:space="preserve">М до </w:t>
      </w:r>
      <w:r w:rsidR="00EE4FBC" w:rsidRPr="00EE4FBC">
        <w:rPr>
          <w:color w:val="000000"/>
        </w:rPr>
        <w:t>2.5</w:t>
      </w:r>
      <w:r w:rsidR="00EE4FBC">
        <w:rPr>
          <w:color w:val="000000"/>
          <w:lang w:val="mn-MN"/>
        </w:rPr>
        <w:t xml:space="preserve">М </w:t>
      </w:r>
      <w:r w:rsidR="007B202A">
        <w:rPr>
          <w:color w:val="000000"/>
          <w:lang w:val="mn-MN"/>
        </w:rPr>
        <w:t xml:space="preserve">при </w:t>
      </w:r>
      <w:r w:rsidR="00EE4FBC">
        <w:rPr>
          <w:color w:val="000000"/>
          <w:lang w:val="mn-MN"/>
        </w:rPr>
        <w:t>поддерж</w:t>
      </w:r>
      <w:r w:rsidR="007B202A">
        <w:rPr>
          <w:color w:val="000000"/>
          <w:lang w:val="mn-MN"/>
        </w:rPr>
        <w:t>а</w:t>
      </w:r>
      <w:r w:rsidR="00EE4FBC">
        <w:rPr>
          <w:color w:val="000000"/>
          <w:lang w:val="mn-MN"/>
        </w:rPr>
        <w:t>нии остальных параметров процесса на оптимальном уровне.</w:t>
      </w:r>
    </w:p>
    <w:p w14:paraId="4129519E" w14:textId="03820B7C" w:rsidR="00482192" w:rsidRDefault="0023771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mn-MN"/>
        </w:rPr>
      </w:pPr>
      <w:r w:rsidRPr="00994273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5C614459" wp14:editId="2E537741">
            <wp:simplePos x="0" y="0"/>
            <wp:positionH relativeFrom="margin">
              <wp:posOffset>1403985</wp:posOffset>
            </wp:positionH>
            <wp:positionV relativeFrom="paragraph">
              <wp:posOffset>908050</wp:posOffset>
            </wp:positionV>
            <wp:extent cx="2552065" cy="2165350"/>
            <wp:effectExtent l="0" t="0" r="635" b="6350"/>
            <wp:wrapTopAndBottom/>
            <wp:docPr id="96939011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60FEBF51-1030-7C6E-7760-5875B0659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60FEBF51-1030-7C6E-7760-5875B06590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02A">
        <w:rPr>
          <w:color w:val="000000"/>
          <w:lang w:val="mn-MN"/>
        </w:rPr>
        <w:t>В результате экспериментальных исследований показали что, при увеличении концентрации аммиака</w:t>
      </w:r>
      <w:r w:rsidR="00280952">
        <w:rPr>
          <w:color w:val="000000"/>
          <w:lang w:val="mn-MN"/>
        </w:rPr>
        <w:t xml:space="preserve"> </w:t>
      </w:r>
      <w:r w:rsidR="007B202A">
        <w:rPr>
          <w:color w:val="000000"/>
          <w:lang w:val="mn-MN"/>
        </w:rPr>
        <w:t xml:space="preserve">от </w:t>
      </w:r>
      <w:r w:rsidR="007B202A" w:rsidRPr="00EE4FBC">
        <w:rPr>
          <w:color w:val="000000"/>
        </w:rPr>
        <w:t>0.1</w:t>
      </w:r>
      <w:r w:rsidR="007B202A">
        <w:rPr>
          <w:color w:val="000000"/>
          <w:lang w:val="mn-MN"/>
        </w:rPr>
        <w:t xml:space="preserve">М до </w:t>
      </w:r>
      <w:r w:rsidR="007B202A" w:rsidRPr="00EE4FBC">
        <w:rPr>
          <w:color w:val="000000"/>
        </w:rPr>
        <w:t>2.5</w:t>
      </w:r>
      <w:r w:rsidR="007B202A">
        <w:rPr>
          <w:color w:val="000000"/>
          <w:lang w:val="mn-MN"/>
        </w:rPr>
        <w:t xml:space="preserve">М и поддержании остальных параметров процесса происходит увеличение размер </w:t>
      </w:r>
      <w:r w:rsidR="00280952">
        <w:rPr>
          <w:color w:val="000000"/>
          <w:lang w:val="mn-MN"/>
        </w:rPr>
        <w:t>СЧДК</w:t>
      </w:r>
      <w:r w:rsidR="007B202A">
        <w:rPr>
          <w:color w:val="000000"/>
          <w:lang w:val="mn-MN"/>
        </w:rPr>
        <w:t xml:space="preserve">. Увеличение концентрации аммиака усиливает </w:t>
      </w:r>
      <w:r w:rsidR="00BE65F5">
        <w:rPr>
          <w:color w:val="000000"/>
          <w:lang w:val="mn-MN"/>
        </w:rPr>
        <w:t>гидролиз ТЭОС.</w:t>
      </w:r>
      <w:r w:rsidR="00280952">
        <w:rPr>
          <w:color w:val="000000"/>
          <w:lang w:val="mn-MN"/>
        </w:rPr>
        <w:t xml:space="preserve"> </w:t>
      </w:r>
      <w:r w:rsidR="00BE65F5">
        <w:rPr>
          <w:color w:val="000000"/>
          <w:lang w:val="mn-MN"/>
        </w:rPr>
        <w:t>Ускорение образования силанольных групп приводит к увеличен</w:t>
      </w:r>
      <w:r w:rsidR="00994273">
        <w:rPr>
          <w:color w:val="000000"/>
          <w:lang w:val="mn-MN"/>
        </w:rPr>
        <w:t>и</w:t>
      </w:r>
      <w:r w:rsidR="00BE65F5">
        <w:rPr>
          <w:color w:val="000000"/>
          <w:lang w:val="mn-MN"/>
        </w:rPr>
        <w:t>ю скорости реакции и более эффективному превращению ТЭОС</w:t>
      </w:r>
      <w:r w:rsidR="00280952">
        <w:rPr>
          <w:color w:val="000000"/>
          <w:lang w:val="mn-MN"/>
        </w:rPr>
        <w:t>.</w:t>
      </w:r>
    </w:p>
    <w:p w14:paraId="4E46D8C6" w14:textId="49FF3006" w:rsidR="002E19AF" w:rsidRPr="002E19AF" w:rsidRDefault="002E19AF" w:rsidP="002E19AF">
      <w:pPr>
        <w:jc w:val="center"/>
        <w:rPr>
          <w:lang w:val="mn-MN"/>
        </w:rPr>
      </w:pPr>
      <w:r w:rsidRPr="006834C5">
        <w:t xml:space="preserve">Рис. 1. </w:t>
      </w:r>
      <w:r>
        <w:rPr>
          <w:lang w:val="mn-MN"/>
        </w:rPr>
        <w:t xml:space="preserve">Зависимость скорости реакции процесса от концентрации </w:t>
      </w:r>
      <w:r>
        <w:rPr>
          <w:lang w:val="en-US"/>
        </w:rPr>
        <w:t>NH</w:t>
      </w:r>
      <w:r w:rsidRPr="00482192">
        <w:rPr>
          <w:vertAlign w:val="subscript"/>
        </w:rPr>
        <w:t>3</w:t>
      </w:r>
    </w:p>
    <w:p w14:paraId="1E9B13B1" w14:textId="437FEB5B" w:rsidR="009B2F80" w:rsidRDefault="00B56ED6" w:rsidP="002E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mn-MN"/>
        </w:rPr>
      </w:pPr>
      <w:r>
        <w:rPr>
          <w:color w:val="000000"/>
          <w:lang w:val="mn-MN"/>
        </w:rPr>
        <w:t>Повышение концентрации</w:t>
      </w:r>
      <w:r w:rsidR="001F6103">
        <w:rPr>
          <w:color w:val="000000"/>
          <w:lang w:val="mn-MN"/>
        </w:rPr>
        <w:t xml:space="preserve"> аммиака </w:t>
      </w:r>
      <w:r>
        <w:rPr>
          <w:color w:val="000000"/>
          <w:lang w:val="mn-MN"/>
        </w:rPr>
        <w:t>не только способствует росту частиц за счет ускорения гидролиза ТЭОС, но и стабилизирует реакци</w:t>
      </w:r>
      <w:r w:rsidR="002E19AF">
        <w:rPr>
          <w:color w:val="000000"/>
          <w:lang w:val="mn-MN"/>
        </w:rPr>
        <w:t>о</w:t>
      </w:r>
      <w:r>
        <w:rPr>
          <w:color w:val="000000"/>
          <w:lang w:val="mn-MN"/>
        </w:rPr>
        <w:t>нную среду благодаря увеличению ионной силы раствора, что позволяет контролировать размер и морфологию частиц, обеспечива</w:t>
      </w:r>
      <w:r w:rsidR="002E19AF">
        <w:rPr>
          <w:color w:val="000000"/>
          <w:lang w:val="mn-MN"/>
        </w:rPr>
        <w:t>я</w:t>
      </w:r>
      <w:r>
        <w:rPr>
          <w:color w:val="000000"/>
          <w:lang w:val="mn-MN"/>
        </w:rPr>
        <w:t xml:space="preserve"> их монодисперсность.</w:t>
      </w:r>
    </w:p>
    <w:p w14:paraId="37F6C51B" w14:textId="573707D9" w:rsidR="00B14E92" w:rsidRPr="00B14E92" w:rsidRDefault="00280952" w:rsidP="002E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mn-MN"/>
        </w:rPr>
      </w:pPr>
      <w:r>
        <w:rPr>
          <w:color w:val="000000"/>
          <w:lang w:val="mn-MN"/>
        </w:rPr>
        <w:t>СЧДК</w:t>
      </w:r>
      <w:r w:rsidR="00B14E92">
        <w:rPr>
          <w:color w:val="000000"/>
          <w:lang w:val="mn-MN"/>
        </w:rPr>
        <w:t>, синтезированные по методу Штобера, обеспечивают формирование фотонных кристаллов с управляемой фотонно</w:t>
      </w:r>
      <w:r w:rsidR="00B14E92" w:rsidRPr="00B14E92">
        <w:rPr>
          <w:color w:val="000000"/>
        </w:rPr>
        <w:t>-</w:t>
      </w:r>
      <w:r w:rsidR="00B14E92">
        <w:rPr>
          <w:color w:val="000000"/>
          <w:lang w:val="mn-MN"/>
        </w:rPr>
        <w:t>запрященной зоной за счет контролируемой самоорганизации. Полученные структуры перспективны для создания оптических сенсоров и фотонных устройств, где точный контроль размера частиц определяет их функциональность.</w:t>
      </w:r>
    </w:p>
    <w:p w14:paraId="0000000E" w14:textId="77777777" w:rsidR="00130241" w:rsidRPr="002809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67E94C7" w14:textId="1471473B" w:rsidR="00915025" w:rsidRPr="007C35D7" w:rsidRDefault="00107AA3" w:rsidP="007C35D7">
      <w:pPr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915025" w:rsidRPr="003F7F86">
        <w:rPr>
          <w:lang w:val="en-US"/>
        </w:rPr>
        <w:t>Stober W., Fink A., Bohn E. Controlled growth of monodisperse silica spheres in the micron size range // J. Colloid and Interface Sci. – 1968. – V. 26. – P. 62 – 69</w:t>
      </w:r>
      <w:r w:rsidR="007C35D7">
        <w:rPr>
          <w:lang w:val="en-US"/>
        </w:rPr>
        <w:t>.</w:t>
      </w:r>
    </w:p>
    <w:sectPr w:rsidR="00915025" w:rsidRPr="007C35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3CD"/>
    <w:multiLevelType w:val="hybridMultilevel"/>
    <w:tmpl w:val="757231C4"/>
    <w:lvl w:ilvl="0" w:tplc="8ABA62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88730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9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3A90"/>
    <w:rsid w:val="001E61C2"/>
    <w:rsid w:val="001F0493"/>
    <w:rsid w:val="001F6103"/>
    <w:rsid w:val="0022260A"/>
    <w:rsid w:val="002264EE"/>
    <w:rsid w:val="0023307C"/>
    <w:rsid w:val="0023771D"/>
    <w:rsid w:val="00280952"/>
    <w:rsid w:val="002E19AF"/>
    <w:rsid w:val="002F7F08"/>
    <w:rsid w:val="0031361E"/>
    <w:rsid w:val="00391C38"/>
    <w:rsid w:val="003B12DE"/>
    <w:rsid w:val="003B76D6"/>
    <w:rsid w:val="003E2601"/>
    <w:rsid w:val="003F4E6B"/>
    <w:rsid w:val="00482192"/>
    <w:rsid w:val="004A26A3"/>
    <w:rsid w:val="004F0EDF"/>
    <w:rsid w:val="00522BF1"/>
    <w:rsid w:val="00545B04"/>
    <w:rsid w:val="00590166"/>
    <w:rsid w:val="005B309E"/>
    <w:rsid w:val="005D022B"/>
    <w:rsid w:val="005E5BE9"/>
    <w:rsid w:val="0069427D"/>
    <w:rsid w:val="006F7A19"/>
    <w:rsid w:val="007213E1"/>
    <w:rsid w:val="00775389"/>
    <w:rsid w:val="00797838"/>
    <w:rsid w:val="007B202A"/>
    <w:rsid w:val="007C35D7"/>
    <w:rsid w:val="007C36D8"/>
    <w:rsid w:val="007F2744"/>
    <w:rsid w:val="008931BE"/>
    <w:rsid w:val="008C67E3"/>
    <w:rsid w:val="00914205"/>
    <w:rsid w:val="00915025"/>
    <w:rsid w:val="00921D45"/>
    <w:rsid w:val="009426C0"/>
    <w:rsid w:val="00980A65"/>
    <w:rsid w:val="00994273"/>
    <w:rsid w:val="009A66DB"/>
    <w:rsid w:val="009B2F80"/>
    <w:rsid w:val="009B3300"/>
    <w:rsid w:val="009F3380"/>
    <w:rsid w:val="00A02163"/>
    <w:rsid w:val="00A314FE"/>
    <w:rsid w:val="00AD7380"/>
    <w:rsid w:val="00B02AC0"/>
    <w:rsid w:val="00B14E92"/>
    <w:rsid w:val="00B56ED6"/>
    <w:rsid w:val="00B97514"/>
    <w:rsid w:val="00BB1C6A"/>
    <w:rsid w:val="00BE3A0F"/>
    <w:rsid w:val="00BE65F5"/>
    <w:rsid w:val="00BF36F8"/>
    <w:rsid w:val="00BF4622"/>
    <w:rsid w:val="00C25D89"/>
    <w:rsid w:val="00C844E2"/>
    <w:rsid w:val="00CD00B1"/>
    <w:rsid w:val="00D210E4"/>
    <w:rsid w:val="00D22306"/>
    <w:rsid w:val="00D42542"/>
    <w:rsid w:val="00D8121C"/>
    <w:rsid w:val="00DF6351"/>
    <w:rsid w:val="00E22189"/>
    <w:rsid w:val="00E74069"/>
    <w:rsid w:val="00E81D35"/>
    <w:rsid w:val="00EB1F49"/>
    <w:rsid w:val="00EE4FBC"/>
    <w:rsid w:val="00F7377F"/>
    <w:rsid w:val="00F865B3"/>
    <w:rsid w:val="00FA72B8"/>
    <w:rsid w:val="00FB1509"/>
    <w:rsid w:val="00FB61C6"/>
    <w:rsid w:val="00FE68A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ikamina2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2025-03-24T08:59:00Z</dcterms:created>
  <dcterms:modified xsi:type="dcterms:W3CDTF">2025-03-24T08:59:00Z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