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1E67" w14:textId="77777777" w:rsidR="00A31006" w:rsidRDefault="003B1E03">
      <w:pPr>
        <w:shd w:val="clear" w:color="auto" w:fill="FFFFFF"/>
        <w:jc w:val="center"/>
        <w:rPr>
          <w:rFonts w:eastAsia="Calibri"/>
          <w:b/>
          <w:bCs/>
          <w:spacing w:val="-2"/>
          <w:szCs w:val="20"/>
        </w:rPr>
      </w:pPr>
      <w:r>
        <w:rPr>
          <w:rFonts w:eastAsia="Calibri"/>
          <w:b/>
          <w:bCs/>
          <w:spacing w:val="-2"/>
          <w:szCs w:val="20"/>
        </w:rPr>
        <w:t>Исследование</w:t>
      </w:r>
      <w:r w:rsidRPr="005114BB">
        <w:rPr>
          <w:rFonts w:eastAsia="Calibri"/>
          <w:b/>
          <w:bCs/>
          <w:spacing w:val="-2"/>
          <w:szCs w:val="20"/>
        </w:rPr>
        <w:t xml:space="preserve"> стабильности </w:t>
      </w:r>
      <w:r>
        <w:rPr>
          <w:rFonts w:eastAsia="Calibri"/>
          <w:b/>
          <w:bCs/>
          <w:spacing w:val="-2"/>
          <w:szCs w:val="20"/>
        </w:rPr>
        <w:t>модифицированных аскорбиновой кислотой наночастиц Fe</w:t>
      </w:r>
      <w:r>
        <w:rPr>
          <w:rFonts w:eastAsia="Calibri"/>
          <w:b/>
          <w:bCs/>
          <w:spacing w:val="-2"/>
          <w:szCs w:val="20"/>
          <w:vertAlign w:val="subscript"/>
        </w:rPr>
        <w:t>3</w:t>
      </w:r>
      <w:r>
        <w:rPr>
          <w:rFonts w:eastAsia="Calibri"/>
          <w:b/>
          <w:bCs/>
          <w:spacing w:val="-2"/>
          <w:szCs w:val="20"/>
        </w:rPr>
        <w:t>O</w:t>
      </w:r>
      <w:r>
        <w:rPr>
          <w:rFonts w:eastAsia="Calibri"/>
          <w:b/>
          <w:bCs/>
          <w:spacing w:val="-2"/>
          <w:szCs w:val="20"/>
          <w:vertAlign w:val="subscript"/>
        </w:rPr>
        <w:t>4</w:t>
      </w:r>
      <w:r>
        <w:rPr>
          <w:rFonts w:eastAsia="Calibri"/>
          <w:b/>
          <w:bCs/>
          <w:spacing w:val="-2"/>
          <w:szCs w:val="20"/>
        </w:rPr>
        <w:t xml:space="preserve"> в матрице </w:t>
      </w:r>
      <w:proofErr w:type="gramStart"/>
      <w:r>
        <w:rPr>
          <w:rFonts w:eastAsia="Calibri"/>
          <w:b/>
          <w:bCs/>
          <w:spacing w:val="-2"/>
          <w:szCs w:val="20"/>
        </w:rPr>
        <w:t>металл-органического</w:t>
      </w:r>
      <w:proofErr w:type="gramEnd"/>
      <w:r>
        <w:rPr>
          <w:rFonts w:eastAsia="Calibri"/>
          <w:b/>
          <w:bCs/>
          <w:spacing w:val="-2"/>
          <w:szCs w:val="20"/>
        </w:rPr>
        <w:t xml:space="preserve"> координационного полимера</w:t>
      </w:r>
    </w:p>
    <w:p w14:paraId="6059B410" w14:textId="77777777" w:rsidR="006156D1" w:rsidRPr="006156D1" w:rsidRDefault="005114BB">
      <w:pPr>
        <w:shd w:val="clear" w:color="auto" w:fill="FFFFFF"/>
        <w:jc w:val="center"/>
        <w:rPr>
          <w:b/>
          <w:i/>
          <w:color w:val="000000"/>
        </w:rPr>
      </w:pPr>
      <w:r w:rsidRPr="006156D1">
        <w:rPr>
          <w:b/>
          <w:i/>
          <w:color w:val="000000"/>
        </w:rPr>
        <w:t>Калиничев А.А.</w:t>
      </w:r>
      <w:r w:rsidRPr="006156D1">
        <w:rPr>
          <w:b/>
          <w:i/>
          <w:color w:val="000000"/>
          <w:vertAlign w:val="superscript"/>
        </w:rPr>
        <w:t>1</w:t>
      </w:r>
      <w:r w:rsidRPr="006156D1">
        <w:rPr>
          <w:b/>
          <w:i/>
          <w:color w:val="000000"/>
        </w:rPr>
        <w:t>, Бондаренко Л.С.</w:t>
      </w:r>
      <w:r w:rsidRPr="006156D1">
        <w:rPr>
          <w:b/>
          <w:i/>
          <w:color w:val="000000"/>
          <w:vertAlign w:val="superscript"/>
        </w:rPr>
        <w:t>1</w:t>
      </w:r>
      <w:r w:rsidRPr="006156D1">
        <w:rPr>
          <w:b/>
          <w:i/>
          <w:color w:val="000000"/>
        </w:rPr>
        <w:t>, Баймуратова Р.К.</w:t>
      </w:r>
      <w:r w:rsidR="00640000" w:rsidRPr="006156D1">
        <w:rPr>
          <w:b/>
          <w:i/>
          <w:color w:val="000000"/>
          <w:vertAlign w:val="superscript"/>
        </w:rPr>
        <w:t>2</w:t>
      </w:r>
    </w:p>
    <w:p w14:paraId="00000003" w14:textId="68296EF1" w:rsidR="00A31006" w:rsidRDefault="003B1E03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5114BB">
        <w:rPr>
          <w:i/>
          <w:color w:val="000000"/>
        </w:rPr>
        <w:t>ба</w:t>
      </w:r>
      <w:r w:rsidR="000C05DF" w:rsidRPr="00E3331A">
        <w:rPr>
          <w:i/>
          <w:color w:val="000000"/>
        </w:rPr>
        <w:t>ка</w:t>
      </w:r>
      <w:r w:rsidR="005114BB">
        <w:rPr>
          <w:i/>
          <w:color w:val="000000"/>
        </w:rPr>
        <w:t>лавриата</w:t>
      </w:r>
    </w:p>
    <w:p w14:paraId="2CD6FC4B" w14:textId="73917D03" w:rsidR="005114BB" w:rsidRDefault="005114BB" w:rsidP="005114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авиационный институт, Москва, Россия</w:t>
      </w:r>
    </w:p>
    <w:p w14:paraId="3C53A72E" w14:textId="3682BAD1" w:rsidR="00A31006" w:rsidRDefault="00640000">
      <w:pP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2C2D2E"/>
          <w:shd w:val="clear" w:color="auto" w:fill="FFFFFF"/>
          <w:vertAlign w:val="superscript"/>
        </w:rPr>
        <w:t>2</w:t>
      </w:r>
      <w:r w:rsidR="005114BB" w:rsidRPr="00653D1E">
        <w:rPr>
          <w:i/>
          <w:color w:val="000000"/>
        </w:rPr>
        <w:t>Федеральный исследовательский центр проблем химической физики и медицинской химии РАН, Черноголовка, Московская область, Россия</w:t>
      </w:r>
    </w:p>
    <w:p w14:paraId="00000008" w14:textId="5045BEBD" w:rsidR="00A31006" w:rsidRPr="00AB4727" w:rsidRDefault="003B1E03" w:rsidP="00AB4727">
      <w:pPr>
        <w:shd w:val="clear" w:color="auto" w:fill="FFFFFF"/>
        <w:jc w:val="center"/>
        <w:rPr>
          <w:color w:val="000000"/>
          <w:u w:val="single"/>
          <w:lang w:val="en-US"/>
        </w:rPr>
      </w:pPr>
      <w:r w:rsidRPr="00057700">
        <w:rPr>
          <w:i/>
          <w:color w:val="000000"/>
          <w:lang w:val="en-US"/>
        </w:rPr>
        <w:t xml:space="preserve">E-mail: </w:t>
      </w:r>
      <w:r w:rsidR="003D0CE4" w:rsidRPr="00AB4727">
        <w:rPr>
          <w:i/>
          <w:color w:val="000000"/>
          <w:u w:val="single"/>
          <w:lang w:val="en-US"/>
        </w:rPr>
        <w:t>a_kalinichiev@mail.ru</w:t>
      </w:r>
    </w:p>
    <w:p w14:paraId="406F5394" w14:textId="77777777" w:rsidR="006156D1" w:rsidRDefault="003B1E03" w:rsidP="006156D1">
      <w:pPr>
        <w:ind w:firstLine="397"/>
        <w:jc w:val="both"/>
        <w:rPr>
          <w:rFonts w:eastAsia="SimSun"/>
          <w:color w:val="231F20"/>
          <w:lang w:eastAsia="zh-CN" w:bidi="ar"/>
        </w:rPr>
      </w:pPr>
      <w:proofErr w:type="spellStart"/>
      <w:r w:rsidRPr="005114BB">
        <w:rPr>
          <w:rFonts w:eastAsia="SimSun"/>
          <w:color w:val="231F20"/>
          <w:lang w:eastAsia="zh-CN" w:bidi="ar"/>
        </w:rPr>
        <w:t>Ферроптоз</w:t>
      </w:r>
      <w:proofErr w:type="spellEnd"/>
      <w:r w:rsidRPr="005114BB">
        <w:rPr>
          <w:rFonts w:eastAsia="SimSun"/>
          <w:color w:val="231F20"/>
          <w:lang w:eastAsia="zh-CN" w:bidi="ar"/>
        </w:rPr>
        <w:t xml:space="preserve"> — новая </w:t>
      </w:r>
      <w:proofErr w:type="spellStart"/>
      <w:r w:rsidRPr="005114BB">
        <w:rPr>
          <w:rFonts w:eastAsia="SimSun"/>
          <w:color w:val="231F20"/>
          <w:lang w:eastAsia="zh-CN" w:bidi="ar"/>
        </w:rPr>
        <w:t>железозависимая</w:t>
      </w:r>
      <w:proofErr w:type="spellEnd"/>
      <w:r w:rsidRPr="005114BB">
        <w:rPr>
          <w:rFonts w:eastAsia="SimSun"/>
          <w:color w:val="231F20"/>
          <w:lang w:eastAsia="zh-CN" w:bidi="ar"/>
        </w:rPr>
        <w:t xml:space="preserve"> форма программируемой гибели клетки, характеризуется активацией перекисного окисления липидов, которое зависит, среди прочего, от образования активных форм кислорода, накапливающихся в результате реакции </w:t>
      </w:r>
      <w:proofErr w:type="spellStart"/>
      <w:r w:rsidRPr="005114BB">
        <w:rPr>
          <w:rFonts w:eastAsia="SimSun"/>
          <w:color w:val="231F20"/>
          <w:lang w:eastAsia="zh-CN" w:bidi="ar"/>
        </w:rPr>
        <w:t>Фентона</w:t>
      </w:r>
      <w:proofErr w:type="spellEnd"/>
      <w:r w:rsidRPr="005114BB">
        <w:rPr>
          <w:rFonts w:eastAsia="SimSun"/>
          <w:color w:val="231F20"/>
          <w:lang w:eastAsia="zh-CN" w:bidi="ar"/>
        </w:rPr>
        <w:t xml:space="preserve"> [</w:t>
      </w:r>
      <w:r>
        <w:rPr>
          <w:rFonts w:eastAsia="SimSun"/>
          <w:color w:val="231F20"/>
          <w:lang w:eastAsia="zh-CN" w:bidi="ar"/>
        </w:rPr>
        <w:t>1</w:t>
      </w:r>
      <w:r w:rsidRPr="005114BB">
        <w:rPr>
          <w:rFonts w:eastAsia="SimSun"/>
          <w:color w:val="231F20"/>
          <w:lang w:eastAsia="zh-CN" w:bidi="ar"/>
        </w:rPr>
        <w:t>]. Металлоорганические координационные полимеры (МОКП) на основе железа являются эффективными катализаторами этой реакции [</w:t>
      </w:r>
      <w:r>
        <w:rPr>
          <w:rFonts w:eastAsia="SimSun"/>
          <w:color w:val="231F20"/>
          <w:lang w:eastAsia="zh-CN" w:bidi="ar"/>
        </w:rPr>
        <w:t>2</w:t>
      </w:r>
      <w:r w:rsidRPr="005114BB">
        <w:rPr>
          <w:rFonts w:eastAsia="SimSun"/>
          <w:color w:val="231F20"/>
          <w:lang w:eastAsia="zh-CN" w:bidi="ar"/>
        </w:rPr>
        <w:t>]. В данной работе использова</w:t>
      </w:r>
      <w:r>
        <w:rPr>
          <w:rFonts w:eastAsia="SimSun"/>
          <w:color w:val="231F20"/>
          <w:lang w:eastAsia="zh-CN" w:bidi="ar"/>
        </w:rPr>
        <w:t>н</w:t>
      </w:r>
      <w:r w:rsidRPr="005114BB">
        <w:rPr>
          <w:rFonts w:eastAsia="SimSun"/>
          <w:color w:val="231F20"/>
          <w:lang w:eastAsia="zh-CN" w:bidi="ar"/>
        </w:rPr>
        <w:t xml:space="preserve"> </w:t>
      </w:r>
      <w:r>
        <w:rPr>
          <w:rFonts w:eastAsia="SimSun"/>
          <w:color w:val="231F20"/>
          <w:lang w:val="en-US" w:eastAsia="zh-CN" w:bidi="ar"/>
        </w:rPr>
        <w:t>MIL</w:t>
      </w:r>
      <w:r w:rsidRPr="005114BB">
        <w:rPr>
          <w:rFonts w:eastAsia="SimSun"/>
          <w:color w:val="231F20"/>
          <w:lang w:eastAsia="zh-CN" w:bidi="ar"/>
        </w:rPr>
        <w:t>-88</w:t>
      </w:r>
      <w:r>
        <w:rPr>
          <w:rFonts w:eastAsia="SimSun"/>
          <w:color w:val="231F20"/>
          <w:lang w:val="en-US" w:eastAsia="zh-CN" w:bidi="ar"/>
        </w:rPr>
        <w:t>B</w:t>
      </w:r>
      <w:r w:rsidRPr="005114BB">
        <w:rPr>
          <w:rFonts w:eastAsia="SimSun"/>
          <w:color w:val="231F20"/>
          <w:lang w:eastAsia="zh-CN" w:bidi="ar"/>
        </w:rPr>
        <w:t xml:space="preserve">, трёхмерный пористый МОКП, состоящий из 1,4-бензолдикарбоновой кислоты и октаэдрических трёхъядерных кластеров </w:t>
      </w:r>
      <w:r>
        <w:rPr>
          <w:rFonts w:eastAsia="SimSun"/>
          <w:color w:val="231F20"/>
          <w:lang w:val="en-US" w:eastAsia="zh-CN" w:bidi="ar"/>
        </w:rPr>
        <w:t>Fe</w:t>
      </w:r>
      <w:r w:rsidRPr="005114BB">
        <w:rPr>
          <w:rFonts w:eastAsia="SimSun"/>
          <w:color w:val="231F20"/>
          <w:lang w:eastAsia="zh-CN" w:bidi="ar"/>
        </w:rPr>
        <w:t xml:space="preserve"> (</w:t>
      </w:r>
      <w:r>
        <w:rPr>
          <w:rFonts w:eastAsia="SimSun"/>
          <w:color w:val="231F20"/>
          <w:lang w:val="en-US" w:eastAsia="zh-CN" w:bidi="ar"/>
        </w:rPr>
        <w:t>Fe</w:t>
      </w:r>
      <w:r w:rsidRPr="005114BB">
        <w:rPr>
          <w:rFonts w:eastAsia="SimSun"/>
          <w:color w:val="231F20"/>
          <w:lang w:eastAsia="zh-CN" w:bidi="ar"/>
        </w:rPr>
        <w:t>3-</w:t>
      </w:r>
      <w:r>
        <w:rPr>
          <w:rFonts w:eastAsia="SimSun"/>
          <w:color w:val="231F20"/>
          <w:lang w:val="en-US" w:eastAsia="zh-CN" w:bidi="ar"/>
        </w:rPr>
        <w:t>μ</w:t>
      </w:r>
      <w:r w:rsidRPr="005114BB">
        <w:rPr>
          <w:rFonts w:eastAsia="SimSun"/>
          <w:color w:val="231F20"/>
          <w:lang w:eastAsia="zh-CN" w:bidi="ar"/>
        </w:rPr>
        <w:t xml:space="preserve">3-оксо) и имеющий вакантные координационные центры, доступные для </w:t>
      </w:r>
      <w:r w:rsidR="000C05DF">
        <w:rPr>
          <w:rFonts w:eastAsia="SimSun"/>
          <w:color w:val="231F20"/>
          <w:lang w:val="en-US" w:eastAsia="zh-CN" w:bidi="ar"/>
        </w:rPr>
        <w:t>H</w:t>
      </w:r>
      <w:r w:rsidR="000C05DF" w:rsidRPr="00361CE9">
        <w:rPr>
          <w:rFonts w:eastAsia="SimSun"/>
          <w:color w:val="231F20"/>
          <w:vertAlign w:val="subscript"/>
          <w:lang w:eastAsia="zh-CN" w:bidi="ar"/>
        </w:rPr>
        <w:t>2</w:t>
      </w:r>
      <w:r w:rsidR="000C05DF">
        <w:rPr>
          <w:rFonts w:eastAsia="SimSun"/>
          <w:color w:val="231F20"/>
          <w:lang w:val="en-US" w:eastAsia="zh-CN" w:bidi="ar"/>
        </w:rPr>
        <w:t>O</w:t>
      </w:r>
      <w:r w:rsidR="000C05DF" w:rsidRPr="00361CE9">
        <w:rPr>
          <w:rFonts w:eastAsia="SimSun"/>
          <w:color w:val="231F20"/>
          <w:vertAlign w:val="subscript"/>
          <w:lang w:eastAsia="zh-CN" w:bidi="ar"/>
        </w:rPr>
        <w:t>2</w:t>
      </w:r>
      <w:r w:rsidRPr="005114BB">
        <w:rPr>
          <w:rFonts w:eastAsia="SimSun"/>
          <w:color w:val="231F20"/>
          <w:lang w:eastAsia="zh-CN" w:bidi="ar"/>
        </w:rPr>
        <w:t>. МОКП модифицирова</w:t>
      </w:r>
      <w:r w:rsidR="000C05DF">
        <w:rPr>
          <w:rFonts w:eastAsia="SimSun"/>
          <w:color w:val="231F20"/>
          <w:lang w:eastAsia="zh-CN" w:bidi="ar"/>
        </w:rPr>
        <w:t>ли</w:t>
      </w:r>
      <w:r w:rsidRPr="005114BB">
        <w:rPr>
          <w:rFonts w:eastAsia="SimSun"/>
          <w:color w:val="231F20"/>
          <w:lang w:eastAsia="zh-CN" w:bidi="ar"/>
        </w:rPr>
        <w:t xml:space="preserve"> аскорбиновой кислотой </w:t>
      </w:r>
      <w:r w:rsidR="000C05DF">
        <w:rPr>
          <w:rFonts w:eastAsia="SimSun"/>
          <w:color w:val="231F20"/>
          <w:lang w:eastAsia="zh-CN" w:bidi="ar"/>
        </w:rPr>
        <w:t xml:space="preserve">(АК) </w:t>
      </w:r>
      <w:r w:rsidRPr="005114BB">
        <w:rPr>
          <w:rFonts w:eastAsia="SimSun"/>
          <w:color w:val="231F20"/>
          <w:lang w:eastAsia="zh-CN" w:bidi="ar"/>
        </w:rPr>
        <w:t xml:space="preserve">для ускорения окислительно-восстановительного </w:t>
      </w:r>
      <w:r w:rsidR="000C05DF">
        <w:rPr>
          <w:rFonts w:eastAsia="SimSun"/>
          <w:color w:val="231F20"/>
          <w:lang w:eastAsia="zh-CN" w:bidi="ar"/>
        </w:rPr>
        <w:t>цикла</w:t>
      </w:r>
      <w:r w:rsidR="000C05DF" w:rsidRPr="005114BB">
        <w:rPr>
          <w:rFonts w:eastAsia="SimSun"/>
          <w:color w:val="231F20"/>
          <w:lang w:eastAsia="zh-CN" w:bidi="ar"/>
        </w:rPr>
        <w:t xml:space="preserve"> </w:t>
      </w:r>
      <w:r>
        <w:rPr>
          <w:rFonts w:eastAsia="SimSun"/>
          <w:color w:val="231F20"/>
          <w:lang w:val="en-US" w:eastAsia="zh-CN" w:bidi="ar"/>
        </w:rPr>
        <w:t>Fe</w:t>
      </w:r>
      <w:r w:rsidRPr="00361CE9">
        <w:rPr>
          <w:rFonts w:eastAsia="SimSun"/>
          <w:color w:val="231F20"/>
          <w:vertAlign w:val="superscript"/>
          <w:lang w:eastAsia="zh-CN" w:bidi="ar"/>
        </w:rPr>
        <w:t>2+</w:t>
      </w:r>
      <w:r w:rsidRPr="000C05DF">
        <w:rPr>
          <w:rFonts w:eastAsia="SimSun"/>
          <w:color w:val="231F20"/>
          <w:lang w:eastAsia="zh-CN" w:bidi="ar"/>
        </w:rPr>
        <w:t>/</w:t>
      </w:r>
      <w:r>
        <w:rPr>
          <w:rFonts w:eastAsia="SimSun"/>
          <w:color w:val="231F20"/>
          <w:lang w:val="en-US" w:eastAsia="zh-CN" w:bidi="ar"/>
        </w:rPr>
        <w:t>Fe</w:t>
      </w:r>
      <w:r w:rsidRPr="00361CE9">
        <w:rPr>
          <w:rFonts w:eastAsia="SimSun"/>
          <w:color w:val="231F20"/>
          <w:vertAlign w:val="superscript"/>
          <w:lang w:eastAsia="zh-CN" w:bidi="ar"/>
        </w:rPr>
        <w:t>3+</w:t>
      </w:r>
      <w:r w:rsidRPr="005114BB">
        <w:rPr>
          <w:rFonts w:eastAsia="SimSun"/>
          <w:color w:val="231F20"/>
          <w:lang w:eastAsia="zh-CN" w:bidi="ar"/>
        </w:rPr>
        <w:t xml:space="preserve"> и магнетитом </w:t>
      </w:r>
      <w:r>
        <w:rPr>
          <w:rFonts w:eastAsia="SimSun"/>
          <w:color w:val="231F20"/>
          <w:lang w:val="en-US" w:eastAsia="zh-CN" w:bidi="ar"/>
        </w:rPr>
        <w:t>Fe</w:t>
      </w:r>
      <w:r w:rsidRPr="00361CE9">
        <w:rPr>
          <w:rFonts w:eastAsia="SimSun"/>
          <w:color w:val="231F20"/>
          <w:vertAlign w:val="subscript"/>
          <w:lang w:eastAsia="zh-CN" w:bidi="ar"/>
        </w:rPr>
        <w:t>3</w:t>
      </w:r>
      <w:r>
        <w:rPr>
          <w:rFonts w:eastAsia="SimSun"/>
          <w:color w:val="231F20"/>
          <w:lang w:val="en-US" w:eastAsia="zh-CN" w:bidi="ar"/>
        </w:rPr>
        <w:t>O</w:t>
      </w:r>
      <w:r w:rsidRPr="00361CE9">
        <w:rPr>
          <w:rFonts w:eastAsia="SimSun"/>
          <w:color w:val="231F20"/>
          <w:vertAlign w:val="subscript"/>
          <w:lang w:eastAsia="zh-CN" w:bidi="ar"/>
        </w:rPr>
        <w:t>4</w:t>
      </w:r>
      <w:r w:rsidRPr="005114BB">
        <w:rPr>
          <w:rFonts w:eastAsia="SimSun"/>
          <w:color w:val="231F20"/>
          <w:lang w:eastAsia="zh-CN" w:bidi="ar"/>
        </w:rPr>
        <w:t xml:space="preserve"> для возможности в дальнейшем магнитного нацеливания. </w:t>
      </w:r>
      <w:r>
        <w:rPr>
          <w:rFonts w:eastAsia="SimSun"/>
          <w:color w:val="231F20"/>
          <w:lang w:eastAsia="zh-CN" w:bidi="ar"/>
        </w:rPr>
        <w:t xml:space="preserve">Целью данной работы </w:t>
      </w:r>
      <w:r w:rsidR="000C05DF">
        <w:rPr>
          <w:rFonts w:eastAsia="SimSun"/>
          <w:color w:val="231F20"/>
          <w:lang w:eastAsia="zh-CN" w:bidi="ar"/>
        </w:rPr>
        <w:t xml:space="preserve">являлось </w:t>
      </w:r>
      <w:r>
        <w:rPr>
          <w:rFonts w:eastAsia="SimSun"/>
          <w:color w:val="231F20"/>
          <w:lang w:eastAsia="zh-CN" w:bidi="ar"/>
        </w:rPr>
        <w:t xml:space="preserve">исследование стабильности </w:t>
      </w:r>
      <w:r>
        <w:rPr>
          <w:rFonts w:eastAsia="SimSun"/>
          <w:color w:val="231F20"/>
          <w:lang w:val="en-US" w:eastAsia="zh-CN" w:bidi="ar"/>
        </w:rPr>
        <w:t>Fe</w:t>
      </w:r>
      <w:r w:rsidRPr="00361CE9">
        <w:rPr>
          <w:rFonts w:eastAsia="SimSun"/>
          <w:color w:val="231F20"/>
          <w:vertAlign w:val="subscript"/>
          <w:lang w:eastAsia="zh-CN" w:bidi="ar"/>
        </w:rPr>
        <w:t>3</w:t>
      </w:r>
      <w:r>
        <w:rPr>
          <w:rFonts w:eastAsia="SimSun"/>
          <w:color w:val="231F20"/>
          <w:lang w:val="en-US" w:eastAsia="zh-CN" w:bidi="ar"/>
        </w:rPr>
        <w:t>O</w:t>
      </w:r>
      <w:r w:rsidRPr="00361CE9">
        <w:rPr>
          <w:rFonts w:eastAsia="SimSun"/>
          <w:color w:val="231F20"/>
          <w:vertAlign w:val="subscript"/>
          <w:lang w:eastAsia="zh-CN" w:bidi="ar"/>
        </w:rPr>
        <w:t>4</w:t>
      </w:r>
      <w:r w:rsidRPr="005114BB">
        <w:rPr>
          <w:rFonts w:eastAsia="SimSun"/>
          <w:color w:val="231F20"/>
          <w:lang w:eastAsia="zh-CN" w:bidi="ar"/>
        </w:rPr>
        <w:t>-</w:t>
      </w:r>
      <w:r>
        <w:rPr>
          <w:rFonts w:eastAsia="SimSun"/>
          <w:color w:val="231F20"/>
          <w:lang w:val="en-US" w:eastAsia="zh-CN" w:bidi="ar"/>
        </w:rPr>
        <w:t>A</w:t>
      </w:r>
      <w:r w:rsidR="000C05DF">
        <w:rPr>
          <w:rFonts w:eastAsia="SimSun"/>
          <w:color w:val="231F20"/>
          <w:lang w:eastAsia="zh-CN" w:bidi="ar"/>
        </w:rPr>
        <w:t>К</w:t>
      </w:r>
      <w:r w:rsidRPr="005114BB">
        <w:rPr>
          <w:rFonts w:eastAsia="SimSun"/>
          <w:color w:val="231F20"/>
          <w:lang w:eastAsia="zh-CN" w:bidi="ar"/>
        </w:rPr>
        <w:t>-</w:t>
      </w:r>
      <w:r>
        <w:rPr>
          <w:rFonts w:eastAsia="SimSun"/>
          <w:color w:val="231F20"/>
          <w:lang w:val="en-US" w:eastAsia="zh-CN" w:bidi="ar"/>
        </w:rPr>
        <w:t>MO</w:t>
      </w:r>
      <w:r w:rsidR="000C05DF">
        <w:rPr>
          <w:rFonts w:eastAsia="SimSun"/>
          <w:color w:val="231F20"/>
          <w:lang w:eastAsia="zh-CN" w:bidi="ar"/>
        </w:rPr>
        <w:t>КП</w:t>
      </w:r>
      <w:r>
        <w:rPr>
          <w:rFonts w:eastAsia="SimSun"/>
          <w:color w:val="231F20"/>
          <w:lang w:eastAsia="zh-CN" w:bidi="ar"/>
        </w:rPr>
        <w:t xml:space="preserve"> и его компонентов при различных значениях </w:t>
      </w:r>
      <w:r>
        <w:rPr>
          <w:rFonts w:eastAsia="SimSun"/>
          <w:color w:val="231F20"/>
          <w:lang w:val="en-US" w:eastAsia="zh-CN" w:bidi="ar"/>
        </w:rPr>
        <w:t>pH</w:t>
      </w:r>
      <w:r>
        <w:rPr>
          <w:rFonts w:eastAsia="SimSun"/>
          <w:color w:val="231F20"/>
          <w:lang w:eastAsia="zh-CN" w:bidi="ar"/>
        </w:rPr>
        <w:t xml:space="preserve">, соответствующих </w:t>
      </w:r>
      <w:r>
        <w:rPr>
          <w:rFonts w:eastAsia="SimSun"/>
          <w:color w:val="231F20"/>
          <w:lang w:val="en-US" w:eastAsia="zh-CN" w:bidi="ar"/>
        </w:rPr>
        <w:t>pH</w:t>
      </w:r>
      <w:r w:rsidRPr="005114BB">
        <w:rPr>
          <w:rFonts w:eastAsia="SimSun"/>
          <w:color w:val="231F20"/>
          <w:lang w:eastAsia="zh-CN" w:bidi="ar"/>
        </w:rPr>
        <w:t xml:space="preserve"> </w:t>
      </w:r>
      <w:r>
        <w:rPr>
          <w:rFonts w:eastAsia="SimSun"/>
          <w:color w:val="231F20"/>
          <w:lang w:eastAsia="zh-CN" w:bidi="ar"/>
        </w:rPr>
        <w:t>опухоли (</w:t>
      </w:r>
      <w:r>
        <w:rPr>
          <w:rFonts w:eastAsia="SimSun"/>
          <w:color w:val="231F20"/>
          <w:lang w:val="en-US" w:eastAsia="zh-CN" w:bidi="ar"/>
        </w:rPr>
        <w:t>pH</w:t>
      </w:r>
      <w:r w:rsidRPr="005114BB">
        <w:rPr>
          <w:rFonts w:eastAsia="SimSun"/>
          <w:color w:val="231F20"/>
          <w:lang w:eastAsia="zh-CN" w:bidi="ar"/>
        </w:rPr>
        <w:t xml:space="preserve"> 4.5</w:t>
      </w:r>
      <w:r>
        <w:rPr>
          <w:rFonts w:eastAsia="SimSun"/>
          <w:color w:val="231F20"/>
          <w:lang w:eastAsia="zh-CN" w:bidi="ar"/>
        </w:rPr>
        <w:t>), микроо</w:t>
      </w:r>
      <w:r w:rsidR="000C05DF">
        <w:rPr>
          <w:rFonts w:eastAsia="SimSun"/>
          <w:color w:val="231F20"/>
          <w:lang w:eastAsia="zh-CN" w:bidi="ar"/>
        </w:rPr>
        <w:t>к</w:t>
      </w:r>
      <w:r>
        <w:rPr>
          <w:rFonts w:eastAsia="SimSun"/>
          <w:color w:val="231F20"/>
          <w:lang w:eastAsia="zh-CN" w:bidi="ar"/>
        </w:rPr>
        <w:t>ружения опухоли (</w:t>
      </w:r>
      <w:r>
        <w:rPr>
          <w:rFonts w:eastAsia="SimSun"/>
          <w:color w:val="231F20"/>
          <w:lang w:val="en-US" w:eastAsia="zh-CN" w:bidi="ar"/>
        </w:rPr>
        <w:t>pH</w:t>
      </w:r>
      <w:r w:rsidRPr="005114BB">
        <w:rPr>
          <w:rFonts w:eastAsia="SimSun"/>
          <w:color w:val="231F20"/>
          <w:lang w:eastAsia="zh-CN" w:bidi="ar"/>
        </w:rPr>
        <w:t xml:space="preserve"> 6.5</w:t>
      </w:r>
      <w:r>
        <w:rPr>
          <w:rFonts w:eastAsia="SimSun"/>
          <w:color w:val="231F20"/>
          <w:lang w:eastAsia="zh-CN" w:bidi="ar"/>
        </w:rPr>
        <w:t>)</w:t>
      </w:r>
      <w:r w:rsidRPr="005114BB">
        <w:rPr>
          <w:rFonts w:eastAsia="SimSun"/>
          <w:color w:val="231F20"/>
          <w:lang w:eastAsia="zh-CN" w:bidi="ar"/>
        </w:rPr>
        <w:t xml:space="preserve"> </w:t>
      </w:r>
      <w:r>
        <w:rPr>
          <w:rFonts w:eastAsia="SimSun"/>
          <w:color w:val="231F20"/>
          <w:lang w:eastAsia="zh-CN" w:bidi="ar"/>
        </w:rPr>
        <w:t>и крови (</w:t>
      </w:r>
      <w:r>
        <w:rPr>
          <w:rFonts w:eastAsia="SimSun"/>
          <w:color w:val="231F20"/>
          <w:lang w:val="en-US" w:eastAsia="zh-CN" w:bidi="ar"/>
        </w:rPr>
        <w:t>pH</w:t>
      </w:r>
      <w:r w:rsidRPr="005114BB">
        <w:rPr>
          <w:rFonts w:eastAsia="SimSun"/>
          <w:color w:val="231F20"/>
          <w:lang w:eastAsia="zh-CN" w:bidi="ar"/>
        </w:rPr>
        <w:t xml:space="preserve"> 7.4</w:t>
      </w:r>
      <w:r>
        <w:rPr>
          <w:rFonts w:eastAsia="SimSun"/>
          <w:color w:val="231F20"/>
          <w:lang w:eastAsia="zh-CN" w:bidi="ar"/>
        </w:rPr>
        <w:t>)</w:t>
      </w:r>
      <w:r w:rsidR="000C05DF">
        <w:rPr>
          <w:rFonts w:eastAsia="SimSun"/>
          <w:color w:val="231F20"/>
          <w:lang w:eastAsia="zh-CN" w:bidi="ar"/>
        </w:rPr>
        <w:t>,</w:t>
      </w:r>
      <w:r>
        <w:rPr>
          <w:rFonts w:eastAsia="SimSun"/>
          <w:color w:val="231F20"/>
          <w:lang w:eastAsia="zh-CN" w:bidi="ar"/>
        </w:rPr>
        <w:t xml:space="preserve"> по показателям концентрации </w:t>
      </w:r>
      <w:r w:rsidR="000C05DF">
        <w:rPr>
          <w:rFonts w:eastAsia="SimSun"/>
          <w:color w:val="231F20"/>
          <w:lang w:eastAsia="zh-CN" w:bidi="ar"/>
        </w:rPr>
        <w:t>высвобождающихся</w:t>
      </w:r>
      <w:r>
        <w:rPr>
          <w:rFonts w:eastAsia="SimSun"/>
          <w:color w:val="231F20"/>
          <w:lang w:eastAsia="zh-CN" w:bidi="ar"/>
        </w:rPr>
        <w:t xml:space="preserve"> </w:t>
      </w:r>
      <w:r>
        <w:rPr>
          <w:rFonts w:eastAsia="SimSun"/>
          <w:color w:val="231F20"/>
          <w:lang w:val="en-US" w:eastAsia="zh-CN" w:bidi="ar"/>
        </w:rPr>
        <w:t>Fe</w:t>
      </w:r>
      <w:r w:rsidRPr="005114BB">
        <w:rPr>
          <w:rFonts w:eastAsia="SimSun"/>
          <w:color w:val="231F20"/>
          <w:lang w:eastAsia="zh-CN" w:bidi="ar"/>
        </w:rPr>
        <w:t>2+/</w:t>
      </w:r>
      <w:r>
        <w:rPr>
          <w:rFonts w:eastAsia="SimSun"/>
          <w:color w:val="231F20"/>
          <w:lang w:val="en-US" w:eastAsia="zh-CN" w:bidi="ar"/>
        </w:rPr>
        <w:t>Fe</w:t>
      </w:r>
      <w:r w:rsidRPr="005114BB">
        <w:rPr>
          <w:rFonts w:eastAsia="SimSun"/>
          <w:color w:val="231F20"/>
          <w:lang w:eastAsia="zh-CN" w:bidi="ar"/>
        </w:rPr>
        <w:t>3+</w:t>
      </w:r>
      <w:r>
        <w:rPr>
          <w:rFonts w:eastAsia="SimSun"/>
          <w:color w:val="231F20"/>
          <w:lang w:eastAsia="zh-CN" w:bidi="ar"/>
        </w:rPr>
        <w:t xml:space="preserve"> и терефталевой кислоты</w:t>
      </w:r>
      <w:r w:rsidR="000C05DF">
        <w:rPr>
          <w:rFonts w:eastAsia="SimSun"/>
          <w:color w:val="231F20"/>
          <w:lang w:eastAsia="zh-CN" w:bidi="ar"/>
        </w:rPr>
        <w:t xml:space="preserve"> (ТФК).</w:t>
      </w:r>
    </w:p>
    <w:p w14:paraId="1A0C7A09" w14:textId="77777777" w:rsidR="006156D1" w:rsidRDefault="003B1E03" w:rsidP="006156D1">
      <w:pPr>
        <w:ind w:firstLine="397"/>
        <w:jc w:val="both"/>
        <w:rPr>
          <w:rFonts w:eastAsia="SimSun"/>
          <w:color w:val="231F20"/>
          <w:lang w:eastAsia="zh-CN"/>
        </w:rPr>
      </w:pPr>
      <w:r w:rsidRPr="005114BB">
        <w:rPr>
          <w:rFonts w:eastAsia="SimSun"/>
          <w:color w:val="231F20"/>
          <w:lang w:eastAsia="zh-CN"/>
        </w:rPr>
        <w:t xml:space="preserve">Степень разложения </w:t>
      </w:r>
      <w:r>
        <w:rPr>
          <w:rFonts w:eastAsia="SimSun"/>
          <w:color w:val="231F20"/>
          <w:lang w:eastAsia="zh-CN"/>
        </w:rPr>
        <w:t xml:space="preserve">МОКП </w:t>
      </w:r>
      <w:r w:rsidRPr="005114BB">
        <w:rPr>
          <w:rFonts w:eastAsia="SimSun"/>
          <w:color w:val="231F20"/>
          <w:lang w:eastAsia="zh-CN"/>
        </w:rPr>
        <w:t xml:space="preserve">определяли </w:t>
      </w:r>
      <w:r w:rsidR="000C05DF">
        <w:rPr>
          <w:rFonts w:eastAsia="SimSun"/>
          <w:color w:val="231F20"/>
          <w:lang w:eastAsia="zh-CN"/>
        </w:rPr>
        <w:t>спектрофотометрическим методом</w:t>
      </w:r>
      <w:r w:rsidRPr="005114BB">
        <w:rPr>
          <w:rFonts w:eastAsia="SimSun"/>
          <w:color w:val="231F20"/>
          <w:lang w:eastAsia="zh-CN"/>
        </w:rPr>
        <w:t xml:space="preserve"> по интенсивности пика 238 нм, соответствующего электронным переходам бензольного кольца ТФК</w:t>
      </w:r>
      <w:r>
        <w:rPr>
          <w:rFonts w:eastAsia="SimSun"/>
          <w:color w:val="231F20"/>
          <w:lang w:eastAsia="zh-CN"/>
        </w:rPr>
        <w:t>, заранее переведенной в калиевую форму из-за низкой растворимости</w:t>
      </w:r>
      <w:r w:rsidRPr="005114BB">
        <w:rPr>
          <w:rFonts w:eastAsia="SimSun"/>
          <w:color w:val="231F20"/>
          <w:lang w:eastAsia="zh-CN"/>
        </w:rPr>
        <w:t xml:space="preserve">. При выдерживании </w:t>
      </w:r>
      <w:r>
        <w:rPr>
          <w:rFonts w:eastAsia="SimSun"/>
          <w:color w:val="231F20"/>
          <w:lang w:val="en-US" w:eastAsia="zh-CN"/>
        </w:rPr>
        <w:t>MO</w:t>
      </w:r>
      <w:r>
        <w:rPr>
          <w:rFonts w:eastAsia="SimSun"/>
          <w:color w:val="231F20"/>
          <w:lang w:eastAsia="zh-CN"/>
        </w:rPr>
        <w:t>КП</w:t>
      </w:r>
      <w:r w:rsidRPr="005114BB">
        <w:rPr>
          <w:rFonts w:eastAsia="SimSun"/>
          <w:color w:val="231F20"/>
          <w:lang w:eastAsia="zh-CN"/>
        </w:rPr>
        <w:t xml:space="preserve"> в дистиллированной воде с </w:t>
      </w:r>
      <w:r>
        <w:rPr>
          <w:rFonts w:eastAsia="SimSun"/>
          <w:color w:val="231F20"/>
          <w:lang w:val="en-US" w:eastAsia="zh-CN"/>
        </w:rPr>
        <w:t>pH</w:t>
      </w:r>
      <w:r w:rsidRPr="005114BB">
        <w:rPr>
          <w:rFonts w:eastAsia="SimSun"/>
          <w:color w:val="231F20"/>
          <w:lang w:eastAsia="zh-CN"/>
        </w:rPr>
        <w:t>=</w:t>
      </w:r>
      <w:r w:rsidR="000C05DF">
        <w:rPr>
          <w:rFonts w:eastAsia="SimSun"/>
          <w:color w:val="231F20"/>
          <w:lang w:eastAsia="zh-CN"/>
        </w:rPr>
        <w:t>6,5</w:t>
      </w:r>
      <w:r w:rsidRPr="005114BB">
        <w:rPr>
          <w:rFonts w:eastAsia="SimSun"/>
          <w:color w:val="231F20"/>
          <w:lang w:eastAsia="zh-CN"/>
        </w:rPr>
        <w:t xml:space="preserve"> в течение двух суток не наблюдается существенного увеличения концентрации </w:t>
      </w:r>
      <w:r w:rsidR="00057700">
        <w:rPr>
          <w:rFonts w:eastAsia="SimSun"/>
          <w:color w:val="231F20"/>
          <w:lang w:val="en-US" w:eastAsia="zh-CN"/>
        </w:rPr>
        <w:t>T</w:t>
      </w:r>
      <w:r w:rsidR="00057700">
        <w:rPr>
          <w:rFonts w:eastAsia="SimSun"/>
          <w:color w:val="231F20"/>
          <w:lang w:eastAsia="zh-CN"/>
        </w:rPr>
        <w:t>ФК</w:t>
      </w:r>
      <w:r w:rsidRPr="005114BB">
        <w:rPr>
          <w:rFonts w:eastAsia="SimSun"/>
          <w:color w:val="231F20"/>
          <w:lang w:eastAsia="zh-CN"/>
        </w:rPr>
        <w:t xml:space="preserve">. При </w:t>
      </w:r>
      <w:r>
        <w:rPr>
          <w:rFonts w:eastAsia="SimSun"/>
          <w:color w:val="231F20"/>
          <w:lang w:val="en-US" w:eastAsia="zh-CN"/>
        </w:rPr>
        <w:t>pH</w:t>
      </w:r>
      <w:r w:rsidRPr="005114BB">
        <w:rPr>
          <w:rFonts w:eastAsia="SimSun"/>
          <w:color w:val="231F20"/>
          <w:lang w:eastAsia="zh-CN"/>
        </w:rPr>
        <w:t xml:space="preserve"> 4,6 наблюдается выделение </w:t>
      </w:r>
      <w:r w:rsidR="00057700">
        <w:rPr>
          <w:rFonts w:eastAsia="SimSun"/>
          <w:color w:val="231F20"/>
          <w:lang w:val="en-US" w:eastAsia="zh-CN"/>
        </w:rPr>
        <w:t>T</w:t>
      </w:r>
      <w:r w:rsidR="00057700">
        <w:rPr>
          <w:rFonts w:eastAsia="SimSun"/>
          <w:color w:val="231F20"/>
          <w:lang w:eastAsia="zh-CN"/>
        </w:rPr>
        <w:t>ФК</w:t>
      </w:r>
      <w:r w:rsidRPr="005114BB">
        <w:rPr>
          <w:rFonts w:eastAsia="SimSun"/>
          <w:color w:val="231F20"/>
          <w:lang w:eastAsia="zh-CN"/>
        </w:rPr>
        <w:t>, эквивалентное весу использованного образца</w:t>
      </w:r>
      <w:r>
        <w:rPr>
          <w:rFonts w:eastAsia="SimSun"/>
          <w:color w:val="231F20"/>
          <w:lang w:eastAsia="zh-CN"/>
        </w:rPr>
        <w:t>:</w:t>
      </w:r>
      <w:r w:rsidRPr="005114BB">
        <w:rPr>
          <w:rFonts w:eastAsia="SimSun"/>
          <w:color w:val="231F20"/>
          <w:lang w:eastAsia="zh-CN"/>
        </w:rPr>
        <w:t xml:space="preserve"> 20% </w:t>
      </w:r>
      <w:r>
        <w:rPr>
          <w:rFonts w:eastAsia="SimSun"/>
          <w:color w:val="231F20"/>
          <w:lang w:eastAsia="zh-CN"/>
        </w:rPr>
        <w:t>МОКП</w:t>
      </w:r>
      <w:r w:rsidRPr="005114BB">
        <w:rPr>
          <w:rFonts w:eastAsia="SimSun"/>
          <w:color w:val="231F20"/>
          <w:lang w:eastAsia="zh-CN"/>
        </w:rPr>
        <w:t xml:space="preserve"> разрушается уже за 2 часа выдержки</w:t>
      </w:r>
      <w:r>
        <w:rPr>
          <w:rFonts w:eastAsia="SimSun"/>
          <w:color w:val="231F20"/>
          <w:lang w:eastAsia="zh-CN"/>
        </w:rPr>
        <w:t xml:space="preserve">. </w:t>
      </w:r>
      <w:r>
        <w:rPr>
          <w:rFonts w:eastAsia="SimSun"/>
          <w:color w:val="231F20"/>
          <w:lang w:val="en-US" w:eastAsia="zh-CN"/>
        </w:rPr>
        <w:t>M</w:t>
      </w:r>
      <w:r>
        <w:rPr>
          <w:rFonts w:eastAsia="SimSun"/>
          <w:color w:val="231F20"/>
          <w:lang w:eastAsia="zh-CN"/>
        </w:rPr>
        <w:t>ОКП</w:t>
      </w:r>
      <w:r w:rsidRPr="005114BB">
        <w:rPr>
          <w:rFonts w:eastAsia="SimSun"/>
          <w:color w:val="231F20"/>
          <w:lang w:eastAsia="zh-CN"/>
        </w:rPr>
        <w:t xml:space="preserve"> деградирует на 80% уже за первые 1,5 часа воздействия фосфатного буфера.</w:t>
      </w:r>
    </w:p>
    <w:p w14:paraId="295DAF38" w14:textId="77777777" w:rsidR="006156D1" w:rsidRPr="006156D1" w:rsidRDefault="003B1E03" w:rsidP="006156D1">
      <w:pPr>
        <w:ind w:firstLine="397"/>
        <w:jc w:val="both"/>
        <w:rPr>
          <w:color w:val="000000"/>
        </w:rPr>
      </w:pPr>
      <w:r w:rsidRPr="006156D1">
        <w:rPr>
          <w:rFonts w:eastAsia="SimSun"/>
          <w:color w:val="000000"/>
          <w:lang w:eastAsia="zh-CN"/>
        </w:rPr>
        <w:t xml:space="preserve">Оценка высвобождения ионов </w:t>
      </w:r>
      <w:r w:rsidRPr="006156D1">
        <w:rPr>
          <w:rFonts w:eastAsia="SimSun"/>
          <w:color w:val="000000"/>
          <w:lang w:val="en-US" w:eastAsia="zh-CN"/>
        </w:rPr>
        <w:t>Fe</w:t>
      </w:r>
      <w:r w:rsidRPr="006156D1">
        <w:rPr>
          <w:rFonts w:eastAsia="SimSun"/>
          <w:color w:val="000000"/>
          <w:vertAlign w:val="superscript"/>
          <w:lang w:eastAsia="zh-CN"/>
        </w:rPr>
        <w:t>2+</w:t>
      </w:r>
      <w:r w:rsidRPr="006156D1">
        <w:rPr>
          <w:rFonts w:eastAsia="SimSun"/>
          <w:color w:val="000000"/>
          <w:lang w:eastAsia="zh-CN"/>
        </w:rPr>
        <w:t>/</w:t>
      </w:r>
      <w:r w:rsidRPr="006156D1">
        <w:rPr>
          <w:rFonts w:eastAsia="SimSun"/>
          <w:color w:val="000000"/>
          <w:lang w:val="en-US" w:eastAsia="zh-CN"/>
        </w:rPr>
        <w:t>Fe</w:t>
      </w:r>
      <w:r w:rsidRPr="006156D1">
        <w:rPr>
          <w:rFonts w:eastAsia="SimSun"/>
          <w:color w:val="000000"/>
          <w:vertAlign w:val="superscript"/>
          <w:lang w:eastAsia="zh-CN"/>
        </w:rPr>
        <w:t>3+</w:t>
      </w:r>
      <w:r w:rsidRPr="006156D1">
        <w:rPr>
          <w:rFonts w:eastAsia="SimSun"/>
          <w:color w:val="000000"/>
          <w:lang w:eastAsia="zh-CN"/>
        </w:rPr>
        <w:t xml:space="preserve"> </w:t>
      </w:r>
      <w:proofErr w:type="spellStart"/>
      <w:r w:rsidRPr="006156D1">
        <w:rPr>
          <w:rFonts w:eastAsia="SimSun"/>
          <w:color w:val="000000"/>
          <w:lang w:eastAsia="zh-CN"/>
        </w:rPr>
        <w:t>комплексонометрическими</w:t>
      </w:r>
      <w:proofErr w:type="spellEnd"/>
      <w:r w:rsidRPr="006156D1">
        <w:rPr>
          <w:rFonts w:eastAsia="SimSun"/>
          <w:color w:val="000000"/>
          <w:lang w:eastAsia="zh-CN"/>
        </w:rPr>
        <w:t xml:space="preserve"> методами с использованием </w:t>
      </w:r>
      <w:r w:rsidR="000C05DF" w:rsidRPr="006156D1">
        <w:rPr>
          <w:rFonts w:eastAsia="SimSun"/>
          <w:color w:val="000000"/>
          <w:lang w:eastAsia="zh-CN"/>
        </w:rPr>
        <w:t>о-</w:t>
      </w:r>
      <w:proofErr w:type="spellStart"/>
      <w:r w:rsidRPr="006156D1">
        <w:rPr>
          <w:rFonts w:eastAsia="SimSun"/>
          <w:color w:val="000000"/>
          <w:lang w:eastAsia="zh-CN"/>
        </w:rPr>
        <w:t>фенантролина</w:t>
      </w:r>
      <w:proofErr w:type="spellEnd"/>
      <w:r w:rsidRPr="006156D1">
        <w:rPr>
          <w:rFonts w:eastAsia="SimSun"/>
          <w:color w:val="000000"/>
          <w:lang w:eastAsia="zh-CN"/>
        </w:rPr>
        <w:t xml:space="preserve"> и роданида калия показала, что</w:t>
      </w:r>
      <w:r w:rsidRPr="006156D1">
        <w:rPr>
          <w:color w:val="000000"/>
        </w:rPr>
        <w:t xml:space="preserve"> образец Fe</w:t>
      </w:r>
      <w:r w:rsidRPr="006156D1">
        <w:rPr>
          <w:color w:val="000000"/>
          <w:vertAlign w:val="subscript"/>
        </w:rPr>
        <w:t>3</w:t>
      </w:r>
      <w:r w:rsidRPr="006156D1">
        <w:rPr>
          <w:color w:val="000000"/>
        </w:rPr>
        <w:t>O</w:t>
      </w:r>
      <w:r w:rsidRPr="006156D1">
        <w:rPr>
          <w:color w:val="000000"/>
          <w:vertAlign w:val="subscript"/>
        </w:rPr>
        <w:t>4</w:t>
      </w:r>
      <w:r w:rsidRPr="006156D1">
        <w:rPr>
          <w:color w:val="000000"/>
        </w:rPr>
        <w:t>-A</w:t>
      </w:r>
      <w:r w:rsidR="000C05DF" w:rsidRPr="006156D1">
        <w:rPr>
          <w:color w:val="000000"/>
        </w:rPr>
        <w:t>К</w:t>
      </w:r>
      <w:r w:rsidRPr="006156D1">
        <w:rPr>
          <w:color w:val="000000"/>
        </w:rPr>
        <w:t>-MO</w:t>
      </w:r>
      <w:r w:rsidR="000C05DF" w:rsidRPr="006156D1">
        <w:rPr>
          <w:color w:val="000000"/>
        </w:rPr>
        <w:t xml:space="preserve">КП </w:t>
      </w:r>
      <w:r w:rsidRPr="006156D1">
        <w:rPr>
          <w:color w:val="000000"/>
        </w:rPr>
        <w:t>высвобождает в 4 раза больше Fe</w:t>
      </w:r>
      <w:r w:rsidRPr="006156D1">
        <w:rPr>
          <w:color w:val="000000"/>
          <w:vertAlign w:val="superscript"/>
        </w:rPr>
        <w:t xml:space="preserve">2⁺ </w:t>
      </w:r>
      <w:r w:rsidRPr="006156D1">
        <w:rPr>
          <w:color w:val="000000"/>
        </w:rPr>
        <w:t xml:space="preserve">по сравнению с </w:t>
      </w:r>
      <w:r w:rsidRPr="006156D1">
        <w:rPr>
          <w:color w:val="000000"/>
          <w:lang w:val="en-US"/>
        </w:rPr>
        <w:t>Fe</w:t>
      </w:r>
      <w:r w:rsidRPr="006156D1">
        <w:rPr>
          <w:color w:val="000000"/>
          <w:vertAlign w:val="subscript"/>
        </w:rPr>
        <w:t>3</w:t>
      </w:r>
      <w:r w:rsidRPr="006156D1">
        <w:rPr>
          <w:color w:val="000000"/>
          <w:lang w:val="en-US"/>
        </w:rPr>
        <w:t>O</w:t>
      </w:r>
      <w:r w:rsidRPr="006156D1">
        <w:rPr>
          <w:color w:val="000000"/>
          <w:vertAlign w:val="subscript"/>
        </w:rPr>
        <w:t>4</w:t>
      </w:r>
      <w:r w:rsidRPr="006156D1">
        <w:rPr>
          <w:color w:val="000000"/>
        </w:rPr>
        <w:t xml:space="preserve">, </w:t>
      </w:r>
      <w:r w:rsidRPr="006156D1">
        <w:rPr>
          <w:color w:val="000000"/>
          <w:lang w:val="en-US"/>
        </w:rPr>
        <w:t>Fe</w:t>
      </w:r>
      <w:r w:rsidRPr="006156D1">
        <w:rPr>
          <w:color w:val="000000"/>
          <w:vertAlign w:val="subscript"/>
        </w:rPr>
        <w:t>3</w:t>
      </w:r>
      <w:r w:rsidRPr="006156D1">
        <w:rPr>
          <w:color w:val="000000"/>
          <w:lang w:val="en-US"/>
        </w:rPr>
        <w:t>O</w:t>
      </w:r>
      <w:r w:rsidRPr="006156D1">
        <w:rPr>
          <w:color w:val="000000"/>
          <w:vertAlign w:val="subscript"/>
        </w:rPr>
        <w:t>4</w:t>
      </w:r>
      <w:r w:rsidRPr="006156D1">
        <w:rPr>
          <w:color w:val="000000"/>
        </w:rPr>
        <w:t>-</w:t>
      </w:r>
      <w:r w:rsidRPr="006156D1">
        <w:rPr>
          <w:color w:val="000000"/>
          <w:lang w:val="en-US"/>
        </w:rPr>
        <w:t>MO</w:t>
      </w:r>
      <w:r w:rsidR="000C05DF" w:rsidRPr="006156D1">
        <w:rPr>
          <w:color w:val="000000"/>
        </w:rPr>
        <w:t>КП</w:t>
      </w:r>
      <w:r w:rsidRPr="006156D1">
        <w:rPr>
          <w:color w:val="000000"/>
        </w:rPr>
        <w:t xml:space="preserve"> и </w:t>
      </w:r>
      <w:r w:rsidRPr="006156D1">
        <w:rPr>
          <w:color w:val="000000"/>
          <w:lang w:val="en-US"/>
        </w:rPr>
        <w:t>MO</w:t>
      </w:r>
      <w:r w:rsidR="000C05DF" w:rsidRPr="006156D1">
        <w:rPr>
          <w:color w:val="000000"/>
        </w:rPr>
        <w:t>КП</w:t>
      </w:r>
      <w:r w:rsidRPr="006156D1">
        <w:rPr>
          <w:color w:val="000000"/>
        </w:rPr>
        <w:t xml:space="preserve"> в связи со способностью </w:t>
      </w:r>
      <w:r w:rsidR="000C05DF" w:rsidRPr="006156D1">
        <w:rPr>
          <w:color w:val="000000"/>
        </w:rPr>
        <w:t>АК</w:t>
      </w:r>
      <w:r w:rsidRPr="006156D1">
        <w:rPr>
          <w:color w:val="000000"/>
        </w:rPr>
        <w:t xml:space="preserve"> восстанавливать Fe</w:t>
      </w:r>
      <w:r w:rsidRPr="006156D1">
        <w:rPr>
          <w:color w:val="000000"/>
          <w:vertAlign w:val="superscript"/>
        </w:rPr>
        <w:t>3+</w:t>
      </w:r>
      <w:r w:rsidRPr="006156D1">
        <w:rPr>
          <w:color w:val="000000"/>
        </w:rPr>
        <w:t xml:space="preserve"> до Fe</w:t>
      </w:r>
      <w:r w:rsidRPr="006156D1">
        <w:rPr>
          <w:color w:val="000000"/>
          <w:vertAlign w:val="superscript"/>
        </w:rPr>
        <w:t>2⁺</w:t>
      </w:r>
      <w:r w:rsidRPr="006156D1">
        <w:rPr>
          <w:color w:val="000000"/>
        </w:rPr>
        <w:t xml:space="preserve">. При этом, </w:t>
      </w:r>
      <w:r w:rsidRPr="006156D1">
        <w:rPr>
          <w:color w:val="000000"/>
          <w:lang w:val="en-US"/>
        </w:rPr>
        <w:t>MO</w:t>
      </w:r>
      <w:r w:rsidRPr="006156D1">
        <w:rPr>
          <w:color w:val="000000"/>
        </w:rPr>
        <w:t>КП высвобождает в 8 раз больше ионов Fe</w:t>
      </w:r>
      <w:r w:rsidRPr="006156D1">
        <w:rPr>
          <w:color w:val="000000"/>
          <w:vertAlign w:val="superscript"/>
        </w:rPr>
        <w:t>3+</w:t>
      </w:r>
      <w:r w:rsidRPr="006156D1">
        <w:rPr>
          <w:color w:val="000000"/>
        </w:rPr>
        <w:t>.</w:t>
      </w:r>
      <w:r w:rsidRPr="006156D1">
        <w:rPr>
          <w:color w:val="000000"/>
          <w:vertAlign w:val="superscript"/>
        </w:rPr>
        <w:t xml:space="preserve"> </w:t>
      </w:r>
      <w:r w:rsidRPr="006156D1">
        <w:rPr>
          <w:color w:val="000000"/>
        </w:rPr>
        <w:t>Способность высвобождать Fe</w:t>
      </w:r>
      <w:r w:rsidRPr="006156D1">
        <w:rPr>
          <w:color w:val="000000"/>
          <w:vertAlign w:val="superscript"/>
        </w:rPr>
        <w:t>3+</w:t>
      </w:r>
      <w:r w:rsidRPr="006156D1">
        <w:rPr>
          <w:color w:val="000000"/>
        </w:rPr>
        <w:t xml:space="preserve"> и Fe</w:t>
      </w:r>
      <w:r w:rsidRPr="006156D1">
        <w:rPr>
          <w:color w:val="000000"/>
          <w:vertAlign w:val="superscript"/>
        </w:rPr>
        <w:t>2</w:t>
      </w:r>
      <w:r w:rsidRPr="006156D1">
        <w:rPr>
          <w:color w:val="000000"/>
        </w:rPr>
        <w:t xml:space="preserve"> указывает на наличие </w:t>
      </w:r>
      <w:proofErr w:type="spellStart"/>
      <w:r w:rsidRPr="006156D1">
        <w:rPr>
          <w:color w:val="000000"/>
        </w:rPr>
        <w:t>прооксидантных</w:t>
      </w:r>
      <w:proofErr w:type="spellEnd"/>
      <w:r w:rsidRPr="006156D1">
        <w:rPr>
          <w:color w:val="000000"/>
        </w:rPr>
        <w:t xml:space="preserve"> свойств образца, модифицированного аскорбиновой кислотой, и его перспективность как препарата для </w:t>
      </w:r>
      <w:proofErr w:type="spellStart"/>
      <w:r w:rsidRPr="006156D1">
        <w:rPr>
          <w:color w:val="000000"/>
        </w:rPr>
        <w:t>индуцирования</w:t>
      </w:r>
      <w:proofErr w:type="spellEnd"/>
      <w:r w:rsidRPr="006156D1">
        <w:rPr>
          <w:color w:val="000000"/>
        </w:rPr>
        <w:t xml:space="preserve"> </w:t>
      </w:r>
      <w:proofErr w:type="spellStart"/>
      <w:r w:rsidRPr="006156D1">
        <w:rPr>
          <w:color w:val="000000"/>
        </w:rPr>
        <w:t>ферроптоза</w:t>
      </w:r>
      <w:proofErr w:type="spellEnd"/>
      <w:r w:rsidRPr="006156D1">
        <w:rPr>
          <w:color w:val="000000"/>
        </w:rPr>
        <w:t>.</w:t>
      </w:r>
    </w:p>
    <w:p w14:paraId="382705E1" w14:textId="77777777" w:rsidR="00A31006" w:rsidRDefault="003B1E03" w:rsidP="006156D1">
      <w:pPr>
        <w:ind w:firstLine="397"/>
        <w:jc w:val="both"/>
        <w:rPr>
          <w:b/>
          <w:i/>
          <w:iCs/>
          <w:color w:val="000000"/>
        </w:rPr>
      </w:pPr>
      <w:r>
        <w:rPr>
          <w:i/>
          <w:iCs/>
        </w:rPr>
        <w:t>Работа выполнена при финансовой поддержке гранта РНФ № 22-73-10222.</w:t>
      </w:r>
    </w:p>
    <w:p w14:paraId="0000000E" w14:textId="77777777" w:rsidR="00A31006" w:rsidRPr="005114BB" w:rsidRDefault="003B1E03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1BF9BAD7" w:rsidR="00A31006" w:rsidRPr="006156D1" w:rsidRDefault="003B1E03" w:rsidP="006156D1">
      <w:pPr>
        <w:jc w:val="both"/>
        <w:rPr>
          <w:color w:val="000000"/>
          <w:lang w:val="en-US"/>
        </w:rPr>
      </w:pPr>
      <w:r w:rsidRPr="006156D1">
        <w:rPr>
          <w:color w:val="000000"/>
          <w:lang w:val="en-US"/>
        </w:rPr>
        <w:t xml:space="preserve">1. </w:t>
      </w:r>
      <w:r w:rsidRPr="006156D1">
        <w:rPr>
          <w:rFonts w:eastAsia="SimSun"/>
          <w:color w:val="000000"/>
          <w:lang w:val="en-US" w:eastAsia="zh-CN" w:bidi="ar"/>
        </w:rPr>
        <w:t xml:space="preserve">Kim J.W., Lee J.Y., Oh M., Lee E.W. </w:t>
      </w:r>
      <w:proofErr w:type="spellStart"/>
      <w:r w:rsidRPr="006156D1">
        <w:rPr>
          <w:rFonts w:eastAsia="SimSun"/>
          <w:color w:val="000000"/>
          <w:lang w:val="en-US" w:eastAsia="zh-CN" w:bidi="ar"/>
        </w:rPr>
        <w:t>Аn</w:t>
      </w:r>
      <w:proofErr w:type="spellEnd"/>
      <w:r w:rsidRPr="006156D1">
        <w:rPr>
          <w:rFonts w:eastAsia="SimSun"/>
          <w:color w:val="000000"/>
          <w:lang w:val="en-US" w:eastAsia="zh-CN" w:bidi="ar"/>
        </w:rPr>
        <w:t xml:space="preserve"> integrated view of lipid metabolism in ferroptosis revisited via lipidomic analysis. </w:t>
      </w:r>
      <w:r w:rsidRPr="006156D1">
        <w:rPr>
          <w:rFonts w:eastAsia="SimSun"/>
          <w:i/>
          <w:iCs/>
          <w:color w:val="000000"/>
          <w:lang w:val="en-US" w:eastAsia="zh-CN" w:bidi="ar"/>
        </w:rPr>
        <w:t>Exp. Mol. Med</w:t>
      </w:r>
      <w:r w:rsidRPr="006156D1">
        <w:rPr>
          <w:rFonts w:eastAsia="SimSun"/>
          <w:color w:val="000000"/>
          <w:lang w:val="en-US" w:eastAsia="zh-CN" w:bidi="ar"/>
        </w:rPr>
        <w:t>. 2023; 55(8):1620– 1631. DOI: 10.1038/s12276-023-01077-y.</w:t>
      </w:r>
    </w:p>
    <w:p w14:paraId="54F5CCD5" w14:textId="3E557728" w:rsidR="00A31006" w:rsidRPr="006156D1" w:rsidRDefault="003B1E03" w:rsidP="006156D1">
      <w:pPr>
        <w:jc w:val="both"/>
        <w:rPr>
          <w:rFonts w:eastAsia="SimSun"/>
          <w:color w:val="000000"/>
          <w:lang w:val="en-US" w:eastAsia="zh-CN" w:bidi="ar"/>
        </w:rPr>
      </w:pPr>
      <w:r w:rsidRPr="006156D1">
        <w:rPr>
          <w:color w:val="000000"/>
          <w:lang w:val="en-US"/>
        </w:rPr>
        <w:t xml:space="preserve">2. </w:t>
      </w:r>
      <w:proofErr w:type="spellStart"/>
      <w:r w:rsidRPr="006156D1">
        <w:rPr>
          <w:rFonts w:eastAsia="SimSun"/>
          <w:color w:val="000000"/>
          <w:lang w:val="en-US" w:eastAsia="zh-CN" w:bidi="ar"/>
        </w:rPr>
        <w:t>Goroncharovskaya</w:t>
      </w:r>
      <w:proofErr w:type="spellEnd"/>
      <w:r w:rsidRPr="006156D1">
        <w:rPr>
          <w:rFonts w:eastAsia="SimSun"/>
          <w:color w:val="000000"/>
          <w:lang w:val="en-US" w:eastAsia="zh-CN" w:bidi="ar"/>
        </w:rPr>
        <w:t xml:space="preserve"> I.V., Evseev A.K., Shabanov A.K., et al. Electrochemical methods for assessment of polytrauma outcomes. </w:t>
      </w:r>
      <w:r w:rsidRPr="006156D1">
        <w:rPr>
          <w:rFonts w:eastAsia="TimesNewRomanPS-ItalicMT"/>
          <w:i/>
          <w:iCs/>
          <w:color w:val="000000"/>
          <w:lang w:val="en-US" w:eastAsia="zh-CN" w:bidi="ar"/>
        </w:rPr>
        <w:t>Electroanalysis</w:t>
      </w:r>
      <w:r w:rsidRPr="006156D1">
        <w:rPr>
          <w:rFonts w:eastAsia="SimSun"/>
          <w:color w:val="000000"/>
          <w:lang w:val="en-US" w:eastAsia="zh-CN" w:bidi="ar"/>
        </w:rPr>
        <w:t>. 2021; 33(2):550–557. DOI: 10.1002/elan.202060356.</w:t>
      </w:r>
    </w:p>
    <w:p w14:paraId="3486C755" w14:textId="5D9BE507" w:rsidR="00A31006" w:rsidRDefault="003B1E03" w:rsidP="006156D1">
      <w:pPr>
        <w:shd w:val="clear" w:color="auto" w:fill="FFFFFF"/>
        <w:jc w:val="both"/>
        <w:rPr>
          <w:rFonts w:eastAsia="SimSun"/>
          <w:color w:val="000000"/>
          <w:lang w:val="en-US" w:eastAsia="zh-CN" w:bidi="ar"/>
        </w:rPr>
      </w:pPr>
      <w:r w:rsidRPr="006156D1">
        <w:rPr>
          <w:rFonts w:eastAsia="SimSun"/>
          <w:color w:val="000000"/>
          <w:lang w:val="en-US" w:eastAsia="zh-CN" w:bidi="ar"/>
        </w:rPr>
        <w:t xml:space="preserve">3. Gao </w:t>
      </w:r>
      <w:r w:rsidRPr="006156D1">
        <w:rPr>
          <w:rFonts w:eastAsia="SimSun"/>
          <w:color w:val="000000"/>
          <w:lang w:val="en-US" w:eastAsia="zh-CN" w:bidi="ar"/>
        </w:rPr>
        <w:t>C.</w:t>
      </w:r>
      <w:r w:rsidRPr="006156D1">
        <w:rPr>
          <w:rFonts w:eastAsia="SimSun"/>
          <w:color w:val="000000"/>
          <w:lang w:val="en-US" w:eastAsia="zh-CN" w:bidi="ar"/>
        </w:rPr>
        <w:t xml:space="preserve">, Chen S., Quan X., Yu H., Zhang Y. Enhanced Fenton-like catalysis by iron-based metal organic frameworks for degradation of organic pollutants. </w:t>
      </w:r>
      <w:r w:rsidRPr="006156D1">
        <w:rPr>
          <w:rFonts w:eastAsia="TimesNewRomanPS-ItalicMT"/>
          <w:i/>
          <w:iCs/>
          <w:color w:val="000000"/>
          <w:lang w:val="en-US" w:eastAsia="zh-CN" w:bidi="ar"/>
        </w:rPr>
        <w:t>Journal of Catalysis</w:t>
      </w:r>
      <w:r w:rsidRPr="006156D1">
        <w:rPr>
          <w:rFonts w:eastAsia="SimSun"/>
          <w:color w:val="000000"/>
          <w:lang w:val="en-US" w:eastAsia="zh-CN" w:bidi="ar"/>
        </w:rPr>
        <w:t>, 2017; 356: 125–132. DOI: 10.1016/j.jcat.2017.09.015.</w:t>
      </w:r>
    </w:p>
    <w:sectPr w:rsidR="00A3100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7700"/>
    <w:rsid w:val="00063966"/>
    <w:rsid w:val="00075D6E"/>
    <w:rsid w:val="00086081"/>
    <w:rsid w:val="0009449A"/>
    <w:rsid w:val="00094FD0"/>
    <w:rsid w:val="000C05DF"/>
    <w:rsid w:val="000E334E"/>
    <w:rsid w:val="000E771C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F0B63"/>
    <w:rsid w:val="0031361E"/>
    <w:rsid w:val="00361CE9"/>
    <w:rsid w:val="00391C38"/>
    <w:rsid w:val="003B1E03"/>
    <w:rsid w:val="003B76D6"/>
    <w:rsid w:val="003D0CE4"/>
    <w:rsid w:val="003E2601"/>
    <w:rsid w:val="003F4E6B"/>
    <w:rsid w:val="004A26A3"/>
    <w:rsid w:val="004F0EDF"/>
    <w:rsid w:val="005114BB"/>
    <w:rsid w:val="00522BF1"/>
    <w:rsid w:val="00530152"/>
    <w:rsid w:val="00590166"/>
    <w:rsid w:val="005D022B"/>
    <w:rsid w:val="005E5BE9"/>
    <w:rsid w:val="006156D1"/>
    <w:rsid w:val="00640000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006"/>
    <w:rsid w:val="00A314FE"/>
    <w:rsid w:val="00AB4727"/>
    <w:rsid w:val="00AD7380"/>
    <w:rsid w:val="00B42105"/>
    <w:rsid w:val="00B62051"/>
    <w:rsid w:val="00B8754E"/>
    <w:rsid w:val="00BF36F8"/>
    <w:rsid w:val="00BF4622"/>
    <w:rsid w:val="00C844E2"/>
    <w:rsid w:val="00CD00B1"/>
    <w:rsid w:val="00D22306"/>
    <w:rsid w:val="00D42542"/>
    <w:rsid w:val="00D8121C"/>
    <w:rsid w:val="00E22189"/>
    <w:rsid w:val="00E3331A"/>
    <w:rsid w:val="00E74069"/>
    <w:rsid w:val="00E81D35"/>
    <w:rsid w:val="00EB1F49"/>
    <w:rsid w:val="00F865B3"/>
    <w:rsid w:val="00FB1509"/>
    <w:rsid w:val="00FF1903"/>
    <w:rsid w:val="02851E28"/>
    <w:rsid w:val="1C1A0BE2"/>
    <w:rsid w:val="25DB567A"/>
    <w:rsid w:val="3A0A0C41"/>
    <w:rsid w:val="687B233F"/>
    <w:rsid w:val="6CF3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C6219D"/>
  <w15:docId w15:val="{BA3F86A3-6FCD-4CDF-B35E-C408D0B5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qFormat/>
    <w:locked/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rFonts w:eastAsia="Times New Roman"/>
      <w:sz w:val="24"/>
      <w:szCs w:val="24"/>
    </w:rPr>
  </w:style>
  <w:style w:type="paragraph" w:styleId="aa">
    <w:name w:val="Revision"/>
    <w:hidden/>
    <w:uiPriority w:val="99"/>
    <w:unhideWhenUsed/>
    <w:rsid w:val="00057700"/>
    <w:rPr>
      <w:rFonts w:eastAsia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4000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00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C8E018-FF02-44BC-8E3F-F7555749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lsbon</dc:creator>
  <cp:lastModifiedBy>Иван Chernoukhov</cp:lastModifiedBy>
  <cp:revision>2</cp:revision>
  <dcterms:created xsi:type="dcterms:W3CDTF">2025-03-21T21:03:00Z</dcterms:created>
  <dcterms:modified xsi:type="dcterms:W3CDTF">2025-03-21T21:03:00Z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1049-12.2.0.19805</vt:lpwstr>
  </property>
  <property fmtid="{D5CDD505-2E9C-101B-9397-08002B2CF9AE}" pid="26" name="ICV">
    <vt:lpwstr>5353C59AB30D43A18C00AB855457032C_13</vt:lpwstr>
  </property>
</Properties>
</file>