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B9CA" w14:textId="2804C8CC" w:rsidR="00564180" w:rsidRPr="0073099E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Синтез, строение и свойства соединений 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[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AH</w:t>
      </w:r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]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MX</w:t>
      </w:r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5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 xml:space="preserve"> [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AH</w:t>
      </w:r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]</w:t>
      </w:r>
      <w:r w:rsidRPr="0073099E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M</w:t>
      </w:r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X</w:t>
      </w:r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10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*</w:t>
      </w:r>
      <w:proofErr w:type="spellStart"/>
      <w:r w:rsidRPr="0073099E">
        <w:rPr>
          <w:rFonts w:ascii="Times New Roman" w:hAnsi="Times New Roman" w:cs="Times New Roman" w:hint="eastAsia"/>
          <w:b/>
          <w:sz w:val="24"/>
          <w:szCs w:val="24"/>
        </w:rPr>
        <w:t>nH</w:t>
      </w:r>
      <w:proofErr w:type="spellEnd"/>
      <w:r w:rsidRPr="0073099E">
        <w:rPr>
          <w:rFonts w:ascii="Times New Roman" w:hAnsi="Times New Roman" w:cs="Times New Roman" w:hint="eastAsia"/>
          <w:b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O</w:t>
      </w:r>
      <w:r w:rsidR="0073099E" w:rsidRPr="0073099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(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M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=</w:t>
      </w:r>
      <w:proofErr w:type="gramStart"/>
      <w:r w:rsidRPr="0073099E">
        <w:rPr>
          <w:rFonts w:ascii="Times New Roman" w:hAnsi="Times New Roman" w:cs="Times New Roman" w:hint="eastAsia"/>
          <w:b/>
          <w:sz w:val="24"/>
          <w:szCs w:val="24"/>
        </w:rPr>
        <w:t>Bi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,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Sb</w:t>
      </w:r>
      <w:proofErr w:type="gramEnd"/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X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Cl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,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Br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>фенилендиамина</w:t>
      </w:r>
      <w:proofErr w:type="spellEnd"/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</w:rPr>
        <w:t>n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b/>
          <w:sz w:val="24"/>
          <w:szCs w:val="24"/>
          <w:lang w:val="ru-RU"/>
        </w:rPr>
        <w:t>0-2)</w:t>
      </w:r>
    </w:p>
    <w:p w14:paraId="06365D27" w14:textId="77777777" w:rsidR="00112391" w:rsidRDefault="0000000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3099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Лю </w:t>
      </w:r>
      <w:proofErr w:type="spellStart"/>
      <w:r w:rsidRPr="0073099E">
        <w:rPr>
          <w:rFonts w:ascii="Times New Roman" w:hAnsi="Times New Roman" w:cs="Times New Roman"/>
          <w:b/>
          <w:i/>
          <w:sz w:val="24"/>
          <w:szCs w:val="24"/>
          <w:lang w:val="ru-RU"/>
        </w:rPr>
        <w:t>Бопэн</w:t>
      </w:r>
      <w:proofErr w:type="spellEnd"/>
    </w:p>
    <w:p w14:paraId="144B07BB" w14:textId="10124259" w:rsidR="00112391" w:rsidRPr="00112391" w:rsidRDefault="00112391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Студент, 1 курс магистратуры</w:t>
      </w:r>
    </w:p>
    <w:p w14:paraId="0CF3ECDA" w14:textId="373F5921" w:rsidR="0073099E" w:rsidRPr="00112391" w:rsidRDefault="00000000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112391">
        <w:rPr>
          <w:rFonts w:ascii="Times New Roman" w:hAnsi="Times New Roman" w:cs="Times New Roman"/>
          <w:bCs/>
          <w:i/>
          <w:sz w:val="24"/>
          <w:szCs w:val="24"/>
          <w:lang w:val="ru-RU"/>
        </w:rPr>
        <w:t>Московский государственный университет имени М.В. Ломоносова</w:t>
      </w:r>
      <w:r w:rsidR="00112391">
        <w:rPr>
          <w:rFonts w:ascii="Times New Roman" w:hAnsi="Times New Roman" w:cs="Times New Roman"/>
          <w:bCs/>
          <w:i/>
          <w:sz w:val="24"/>
          <w:szCs w:val="24"/>
          <w:lang w:val="ru-RU"/>
        </w:rPr>
        <w:t>,</w:t>
      </w:r>
    </w:p>
    <w:p w14:paraId="0305CDE1" w14:textId="77777777" w:rsidR="00564180" w:rsidRPr="0073099E" w:rsidRDefault="00000000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3099E">
        <w:rPr>
          <w:rFonts w:ascii="Times New Roman" w:hAnsi="Times New Roman" w:cs="Times New Roman"/>
          <w:i/>
          <w:sz w:val="24"/>
          <w:szCs w:val="24"/>
          <w:lang w:val="ru-RU"/>
        </w:rPr>
        <w:t>химический факультет, Москва, Россия</w:t>
      </w:r>
    </w:p>
    <w:p w14:paraId="10B7D8FA" w14:textId="1CB81917" w:rsidR="00564180" w:rsidRPr="0073099E" w:rsidRDefault="00000000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73099E">
        <w:rPr>
          <w:rFonts w:ascii="Times New Roman" w:hAnsi="Times New Roman" w:cs="Times New Roman"/>
          <w:i/>
          <w:sz w:val="24"/>
          <w:szCs w:val="24"/>
        </w:rPr>
        <w:t>E</w:t>
      </w:r>
      <w:r w:rsidRPr="0073099E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73099E">
        <w:rPr>
          <w:rFonts w:ascii="Times New Roman" w:hAnsi="Times New Roman" w:cs="Times New Roman"/>
          <w:i/>
          <w:sz w:val="24"/>
          <w:szCs w:val="24"/>
        </w:rPr>
        <w:t>mail</w:t>
      </w:r>
      <w:r w:rsidRPr="0073099E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proofErr w:type="spellStart"/>
      <w:r w:rsidRPr="00112391">
        <w:rPr>
          <w:rFonts w:ascii="Times New Roman" w:hAnsi="Times New Roman" w:cs="Times New Roman" w:hint="eastAsia"/>
          <w:i/>
          <w:sz w:val="24"/>
          <w:szCs w:val="24"/>
          <w:u w:val="single"/>
        </w:rPr>
        <w:t>liubopeng</w:t>
      </w:r>
      <w:proofErr w:type="spellEnd"/>
      <w:r w:rsidRPr="00112391">
        <w:rPr>
          <w:rFonts w:ascii="Times New Roman" w:hAnsi="Times New Roman" w:cs="Times New Roman" w:hint="eastAsia"/>
          <w:i/>
          <w:sz w:val="24"/>
          <w:szCs w:val="24"/>
          <w:u w:val="single"/>
          <w:lang w:val="ru-RU"/>
        </w:rPr>
        <w:t>@</w:t>
      </w:r>
      <w:proofErr w:type="spellStart"/>
      <w:r w:rsidRPr="00112391">
        <w:rPr>
          <w:rFonts w:ascii="Times New Roman" w:hAnsi="Times New Roman" w:cs="Times New Roman" w:hint="eastAsia"/>
          <w:i/>
          <w:sz w:val="24"/>
          <w:szCs w:val="24"/>
          <w:u w:val="single"/>
        </w:rPr>
        <w:t>gmail</w:t>
      </w:r>
      <w:proofErr w:type="spellEnd"/>
      <w:r w:rsidRPr="00112391">
        <w:rPr>
          <w:rFonts w:ascii="Times New Roman" w:hAnsi="Times New Roman" w:cs="Times New Roman" w:hint="eastAsia"/>
          <w:i/>
          <w:sz w:val="24"/>
          <w:szCs w:val="24"/>
          <w:u w:val="single"/>
          <w:lang w:val="ru-RU"/>
        </w:rPr>
        <w:t>.</w:t>
      </w:r>
      <w:r w:rsidRPr="00112391">
        <w:rPr>
          <w:rFonts w:ascii="Times New Roman" w:hAnsi="Times New Roman" w:cs="Times New Roman" w:hint="eastAsia"/>
          <w:i/>
          <w:sz w:val="24"/>
          <w:szCs w:val="24"/>
          <w:u w:val="single"/>
        </w:rPr>
        <w:t>com</w:t>
      </w:r>
      <w:proofErr w:type="gramEnd"/>
    </w:p>
    <w:p w14:paraId="6D78D5D9" w14:textId="77777777" w:rsidR="00564180" w:rsidRDefault="00000000">
      <w:pPr>
        <w:ind w:firstLineChars="20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 последние годы, в связи с бурным развитием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бессвинцовыхперовскитных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материалов в области оптоэлектронных устройств, большое внимание привлекает изучение 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галогенидных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комплексов металлов. Галогениды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висмута(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 и сурьмы(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402CF8">
        <w:rPr>
          <w:rFonts w:ascii="Times New Roman" w:eastAsia="SimSun" w:hAnsi="Times New Roman" w:cs="Times New Roman" w:hint="eastAsia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стали важными кандидатами на замену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свинецсодержащим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материалам благодаря их структурной универсальности и оптоэлектронным свойствам</w:t>
      </w:r>
      <w:r w:rsidRPr="00402CF8">
        <w:rPr>
          <w:rFonts w:ascii="Times New Roman" w:eastAsia="SimSun" w:hAnsi="Times New Roman" w:cs="Times New Roman" w:hint="eastAsia"/>
          <w:color w:val="000000" w:themeColor="text1"/>
          <w:sz w:val="24"/>
          <w:szCs w:val="24"/>
          <w:vertAlign w:val="superscript"/>
          <w:lang w:val="ru-RU"/>
        </w:rPr>
        <w:t>[1]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CDB01AE" w14:textId="77777777" w:rsidR="00564180" w:rsidRPr="0073099E" w:rsidRDefault="00000000" w:rsidP="0073099E">
      <w:pPr>
        <w:ind w:firstLineChars="20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работе мы обсуждаем синтез, строение и оптические свойства </w:t>
      </w:r>
      <w:proofErr w:type="spellStart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галогеновисмутатов</w:t>
      </w:r>
      <w:proofErr w:type="spell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галогеноантимонатов</w:t>
      </w:r>
      <w:proofErr w:type="spell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фенилендиамина</w:t>
      </w:r>
      <w:proofErr w:type="spell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 xml:space="preserve">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(1,4-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фенилендиамин = 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1,3-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фенилендиамина = 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Мы успешно получили новую серию комплексов катионов, бромиды и хлориды которых имеют низкую растворимость в растворах галогеноводородных кислот. Мы получили два типа соединений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[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AH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]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MX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5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 xml:space="preserve"> [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AH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]</w:t>
      </w:r>
      <w:r w:rsidRPr="0073099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X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10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*</w:t>
      </w:r>
      <w:proofErr w:type="spellStart"/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nH</w:t>
      </w:r>
      <w:proofErr w:type="spellEnd"/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O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(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=</w:t>
      </w:r>
      <w:proofErr w:type="gramStart"/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Bi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,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Sb</w:t>
      </w:r>
      <w:proofErr w:type="gramEnd"/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X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Cl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,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Br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фенилендиамина</w:t>
      </w:r>
      <w:proofErr w:type="spellEnd"/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;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n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=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lang w:val="ru-RU"/>
        </w:rPr>
        <w:t>0-2)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соединениях первого типа, например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[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Pr="0011239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H</w:t>
      </w:r>
      <w:proofErr w:type="gramStart"/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]</w:t>
      </w:r>
      <w:proofErr w:type="spellStart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SbCl</w:t>
      </w:r>
      <w:proofErr w:type="spellEnd"/>
      <w:proofErr w:type="gram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5</w:t>
      </w:r>
      <w:r w:rsidRPr="00730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[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Pr="0011239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</w:rPr>
        <w:t>H</w:t>
      </w:r>
      <w:r w:rsidRPr="0073099E"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]</w:t>
      </w:r>
      <w:proofErr w:type="spellStart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SbBr</w:t>
      </w:r>
      <w:proofErr w:type="spell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5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, 1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анионы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SbX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5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2-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Октаэдры 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SbX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6</w:t>
      </w:r>
      <w:r w:rsidRPr="00730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соединяются вершинами, получаются зигзагообразные цепи. Катионы </w:t>
      </w:r>
      <w:proofErr w:type="spellStart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фенилендиамина</w:t>
      </w:r>
      <w:proofErr w:type="spellEnd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формируют водородные связи 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···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соединяют цепи анионов в псевдо 3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099E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труктуру</w:t>
      </w:r>
      <w:proofErr w:type="spellEnd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Молекул растворителя в этом типе структур нет. Второй тип соединений, например [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]</w:t>
      </w:r>
      <w:r w:rsidRPr="0073099E">
        <w:rPr>
          <w:rFonts w:ascii="Times New Roman" w:eastAsia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 w:rsidRPr="0073099E">
        <w:rPr>
          <w:rFonts w:ascii="Times New Roman" w:eastAsia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proofErr w:type="gramStart"/>
      <w:r w:rsidRPr="0073099E">
        <w:rPr>
          <w:rFonts w:ascii="Times New Roman" w:eastAsia="Times New Roman" w:hAnsi="Times New Roman" w:cs="Times New Roman" w:hint="eastAsia"/>
          <w:color w:val="000000"/>
          <w:sz w:val="24"/>
          <w:szCs w:val="24"/>
          <w:vertAlign w:val="subscript"/>
          <w:lang w:val="ru-RU"/>
        </w:rPr>
        <w:t>10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*</w:t>
      </w:r>
      <w:proofErr w:type="gram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l-GR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</w:t>
      </w:r>
      <w:proofErr w:type="spellStart"/>
      <w:r w:rsidRPr="00730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ядерные</w:t>
      </w:r>
      <w:proofErr w:type="spellEnd"/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[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l-GR"/>
        </w:rPr>
        <w:t>2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l-GR"/>
        </w:rPr>
        <w:t>10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]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l-GR"/>
        </w:rPr>
        <w:t>4-</w:t>
      </w:r>
      <w:r w:rsidRPr="00730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анионы, связанные катионами и молекулами воды. Вещества устойчивы при комнатной температуре, теряют растворитель, если он есть, в интервале от 50 до 90°С, а полное разложение происходит в диапазоне от 115°-175°С температур разложения. Полученные соединения проявляют широкополосную оранжево-красную люминесценцию при комнатной температуре при длине волны возбуждения 365 нм, они могут быть использованы в разных оптических устройствах.</w:t>
      </w:r>
    </w:p>
    <w:p w14:paraId="411AEAA2" w14:textId="77777777" w:rsidR="00564180" w:rsidRDefault="00000000" w:rsidP="0073099E">
      <w:pPr>
        <w:pStyle w:val="a5"/>
        <w:spacing w:before="0" w:beforeAutospacing="0" w:after="0" w:afterAutospacing="0"/>
        <w:ind w:firstLine="397"/>
        <w:rPr>
          <w:i/>
          <w:iCs/>
        </w:rPr>
      </w:pPr>
      <w:r>
        <w:rPr>
          <w:i/>
          <w:iCs/>
        </w:rPr>
        <w:t>Работа поддержана государственной программой #AAAA-A21-121011590082-2</w:t>
      </w:r>
    </w:p>
    <w:p w14:paraId="27D8EFF1" w14:textId="10F5A2F0" w:rsidR="00112391" w:rsidRPr="00112391" w:rsidRDefault="00112391" w:rsidP="00112391">
      <w:pPr>
        <w:pStyle w:val="a5"/>
        <w:spacing w:before="0" w:beforeAutospacing="0" w:after="0" w:afterAutospacing="0"/>
        <w:ind w:firstLine="397"/>
        <w:jc w:val="center"/>
        <w:rPr>
          <w:b/>
          <w:bCs/>
        </w:rPr>
      </w:pPr>
      <w:r w:rsidRPr="00112391">
        <w:rPr>
          <w:b/>
          <w:bCs/>
        </w:rPr>
        <w:t>Литература</w:t>
      </w:r>
    </w:p>
    <w:p w14:paraId="10D942C5" w14:textId="3B4088B9" w:rsidR="00564180" w:rsidRDefault="00000000" w:rsidP="00112391">
      <w:pP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 w:hint="eastAsia"/>
          <w:color w:val="222222"/>
          <w:sz w:val="24"/>
          <w:szCs w:val="24"/>
          <w:shd w:val="clear" w:color="auto" w:fill="FFFFFF"/>
        </w:rPr>
        <w:t>1</w:t>
      </w:r>
      <w:r w:rsidR="0011239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Ayscue III R L, Vallet V, Bertke J A, et al. Structure–Property Relationships in Photoluminescent Bismuth Halide Organic Hybrid Materials[J]. Inorganic Chemistry, 2021, 60(13): 9727-9744.</w:t>
      </w:r>
    </w:p>
    <w:sectPr w:rsidR="00564180" w:rsidSect="0073099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9"/>
    <w:rsid w:val="00112391"/>
    <w:rsid w:val="00183519"/>
    <w:rsid w:val="002613EC"/>
    <w:rsid w:val="00370308"/>
    <w:rsid w:val="003A4927"/>
    <w:rsid w:val="00402CF8"/>
    <w:rsid w:val="00564180"/>
    <w:rsid w:val="0073099E"/>
    <w:rsid w:val="008B53BE"/>
    <w:rsid w:val="00A13972"/>
    <w:rsid w:val="00CB582B"/>
    <w:rsid w:val="00CF2B29"/>
    <w:rsid w:val="00D929CB"/>
    <w:rsid w:val="00E57058"/>
    <w:rsid w:val="00F921C9"/>
    <w:rsid w:val="03550A7E"/>
    <w:rsid w:val="06E3065B"/>
    <w:rsid w:val="07465DF0"/>
    <w:rsid w:val="12AA7B7B"/>
    <w:rsid w:val="28684263"/>
    <w:rsid w:val="29491B5F"/>
    <w:rsid w:val="2F794705"/>
    <w:rsid w:val="48DF33D4"/>
    <w:rsid w:val="5CC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BCAFB"/>
  <w15:docId w15:val="{82AD1B21-1802-427F-B33D-EB7EE32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Quote1"/>
    <w:uiPriority w:val="29"/>
    <w:qFormat/>
    <w:rPr>
      <w:i/>
      <w:iCs/>
      <w:color w:val="404040" w:themeColor="text1" w:themeTint="BF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明显引用 字符"/>
    <w:basedOn w:val="a0"/>
    <w:link w:val="IntenseQuote1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a">
    <w:name w:val="List Paragraph"/>
    <w:basedOn w:val="a"/>
    <w:uiPriority w:val="99"/>
    <w:unhideWhenUsed/>
    <w:rsid w:val="0011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>Krokoz™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博鹏 刘</dc:creator>
  <cp:lastModifiedBy>Иван Chernoukhov</cp:lastModifiedBy>
  <cp:revision>2</cp:revision>
  <dcterms:created xsi:type="dcterms:W3CDTF">2025-03-20T09:46:00Z</dcterms:created>
  <dcterms:modified xsi:type="dcterms:W3CDTF">2025-03-20T09:46:00Z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eyJoZGlkIjoiNmY4MmE5OGVlM2YwOGM3ODA1NDVhMjM0YjI4ZjBjNWUiLCJ1c2VySWQiOiI1MjcyOTE0NzMifQ==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086A72853E6C4026A7C9D1CE674126EC_13</vt:lpwstr>
  </property>
</Properties>
</file>