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227DA2E" w:rsidR="00130241" w:rsidRDefault="000E2C8B" w:rsidP="00A202EA">
      <w:pPr>
        <w:pBdr>
          <w:top w:val="nil"/>
          <w:left w:val="nil"/>
          <w:bottom w:val="nil"/>
          <w:right w:val="nil"/>
          <w:between w:val="nil"/>
        </w:pBdr>
        <w:shd w:val="clear" w:color="auto" w:fill="FFFFFF"/>
        <w:jc w:val="center"/>
        <w:rPr>
          <w:color w:val="000000"/>
        </w:rPr>
      </w:pPr>
      <w:r w:rsidRPr="000E2C8B">
        <w:rPr>
          <w:b/>
          <w:color w:val="000000"/>
        </w:rPr>
        <w:t>Электрокатализаторы восстановления Н</w:t>
      </w:r>
      <w:r w:rsidRPr="000E2C8B">
        <w:rPr>
          <w:b/>
          <w:color w:val="000000"/>
          <w:vertAlign w:val="subscript"/>
        </w:rPr>
        <w:t>2</w:t>
      </w:r>
      <w:r w:rsidRPr="000E2C8B">
        <w:rPr>
          <w:b/>
          <w:color w:val="000000"/>
        </w:rPr>
        <w:t>О</w:t>
      </w:r>
      <w:r w:rsidRPr="000E2C8B">
        <w:rPr>
          <w:b/>
          <w:color w:val="000000"/>
          <w:vertAlign w:val="subscript"/>
        </w:rPr>
        <w:t>2</w:t>
      </w:r>
      <w:r w:rsidRPr="000E2C8B">
        <w:rPr>
          <w:b/>
          <w:color w:val="000000"/>
        </w:rPr>
        <w:t xml:space="preserve"> на основе оксида графена, </w:t>
      </w:r>
      <w:proofErr w:type="spellStart"/>
      <w:r w:rsidRPr="000E2C8B">
        <w:rPr>
          <w:b/>
          <w:color w:val="000000"/>
        </w:rPr>
        <w:t>интеркалированного</w:t>
      </w:r>
      <w:proofErr w:type="spellEnd"/>
      <w:r w:rsidRPr="000E2C8B">
        <w:rPr>
          <w:b/>
          <w:color w:val="000000"/>
        </w:rPr>
        <w:t xml:space="preserve"> ионами железа</w:t>
      </w:r>
    </w:p>
    <w:p w14:paraId="15CA4B5A" w14:textId="5AABC281" w:rsidR="000E2C8B" w:rsidRPr="00EA28B8" w:rsidRDefault="006C25DE" w:rsidP="00A202EA">
      <w:pPr>
        <w:jc w:val="center"/>
        <w:rPr>
          <w:b/>
          <w:i/>
          <w:vertAlign w:val="superscript"/>
        </w:rPr>
      </w:pPr>
      <w:proofErr w:type="spellStart"/>
      <w:r>
        <w:rPr>
          <w:b/>
          <w:i/>
        </w:rPr>
        <w:t>Вельянинова</w:t>
      </w:r>
      <w:proofErr w:type="spellEnd"/>
      <w:r w:rsidR="000E2C8B" w:rsidRPr="00EA28B8">
        <w:rPr>
          <w:b/>
          <w:i/>
        </w:rPr>
        <w:t xml:space="preserve"> К.А.</w:t>
      </w:r>
      <w:r w:rsidR="000E2C8B" w:rsidRPr="00EA28B8">
        <w:rPr>
          <w:b/>
          <w:i/>
          <w:vertAlign w:val="superscript"/>
        </w:rPr>
        <w:t>1</w:t>
      </w:r>
      <w:r w:rsidR="000E2C8B" w:rsidRPr="00EA28B8">
        <w:rPr>
          <w:b/>
          <w:i/>
        </w:rPr>
        <w:t>, Дубов Л.А.</w:t>
      </w:r>
      <w:r w:rsidR="000E2C8B" w:rsidRPr="00EA28B8">
        <w:rPr>
          <w:b/>
          <w:i/>
          <w:vertAlign w:val="superscript"/>
        </w:rPr>
        <w:t>1</w:t>
      </w:r>
      <w:r w:rsidR="000E2C8B" w:rsidRPr="00EA28B8">
        <w:rPr>
          <w:b/>
          <w:i/>
        </w:rPr>
        <w:t>, Комкова М.А.</w:t>
      </w:r>
      <w:r w:rsidR="000E2C8B" w:rsidRPr="00EA28B8">
        <w:rPr>
          <w:b/>
          <w:i/>
          <w:vertAlign w:val="superscript"/>
        </w:rPr>
        <w:t>2</w:t>
      </w:r>
    </w:p>
    <w:p w14:paraId="322329C6" w14:textId="77777777" w:rsidR="00C26D2E" w:rsidRDefault="00C26D2E" w:rsidP="00A202EA">
      <w:pPr>
        <w:pBdr>
          <w:top w:val="nil"/>
          <w:left w:val="nil"/>
          <w:bottom w:val="nil"/>
          <w:right w:val="nil"/>
          <w:between w:val="nil"/>
        </w:pBdr>
        <w:shd w:val="clear" w:color="auto" w:fill="FFFFFF"/>
        <w:jc w:val="center"/>
        <w:rPr>
          <w:i/>
        </w:rPr>
      </w:pPr>
      <w:r>
        <w:rPr>
          <w:i/>
        </w:rPr>
        <w:t>Студентка, 2 курс бакалавриата</w:t>
      </w:r>
    </w:p>
    <w:p w14:paraId="4399BDBF" w14:textId="4D09F32E" w:rsidR="000E2C8B" w:rsidRDefault="000E2C8B" w:rsidP="00A202EA">
      <w:pPr>
        <w:pBdr>
          <w:top w:val="nil"/>
          <w:left w:val="nil"/>
          <w:bottom w:val="nil"/>
          <w:right w:val="nil"/>
          <w:between w:val="nil"/>
        </w:pBdr>
        <w:shd w:val="clear" w:color="auto" w:fill="FFFFFF"/>
        <w:jc w:val="center"/>
        <w:rPr>
          <w:i/>
          <w:color w:val="000000"/>
        </w:rPr>
      </w:pPr>
      <w:r>
        <w:rPr>
          <w:i/>
          <w:color w:val="000000"/>
          <w:vertAlign w:val="superscript"/>
        </w:rPr>
        <w:t>1</w:t>
      </w:r>
      <w:r w:rsidRPr="005E06A5">
        <w:rPr>
          <w:i/>
          <w:color w:val="000000"/>
        </w:rPr>
        <w:t>Московский государственный университет имени М.В. Ломоносова</w:t>
      </w:r>
      <w:r w:rsidR="00FA7C32">
        <w:rPr>
          <w:i/>
          <w:color w:val="000000"/>
        </w:rPr>
        <w:t xml:space="preserve"> </w:t>
      </w:r>
      <w:r w:rsidR="00832F29">
        <w:rPr>
          <w:i/>
          <w:color w:val="000000"/>
        </w:rPr>
        <w:br/>
      </w:r>
      <w:r w:rsidRPr="005E06A5">
        <w:rPr>
          <w:i/>
          <w:color w:val="000000"/>
        </w:rPr>
        <w:t>Факультет наук о материалах, Москва, Россия</w:t>
      </w:r>
    </w:p>
    <w:p w14:paraId="7C112E49" w14:textId="11C3107E" w:rsidR="000E2C8B" w:rsidRDefault="000E2C8B" w:rsidP="00A202EA">
      <w:pPr>
        <w:pBdr>
          <w:top w:val="nil"/>
          <w:left w:val="nil"/>
          <w:bottom w:val="nil"/>
          <w:right w:val="nil"/>
          <w:between w:val="nil"/>
        </w:pBdr>
        <w:shd w:val="clear" w:color="auto" w:fill="FFFFFF"/>
        <w:jc w:val="center"/>
        <w:rPr>
          <w:i/>
          <w:color w:val="000000"/>
        </w:rPr>
      </w:pPr>
      <w:r>
        <w:rPr>
          <w:i/>
          <w:color w:val="000000"/>
          <w:vertAlign w:val="superscript"/>
        </w:rPr>
        <w:t>2</w:t>
      </w:r>
      <w:r w:rsidRPr="005E06A5">
        <w:rPr>
          <w:i/>
          <w:color w:val="000000"/>
        </w:rPr>
        <w:t>Московский государственный университет имени М.В. Ломоносова</w:t>
      </w:r>
      <w:r w:rsidR="00FA7C32">
        <w:rPr>
          <w:i/>
          <w:color w:val="000000"/>
        </w:rPr>
        <w:t xml:space="preserve"> </w:t>
      </w:r>
      <w:r w:rsidR="00832F29">
        <w:rPr>
          <w:i/>
          <w:color w:val="000000"/>
        </w:rPr>
        <w:br/>
      </w:r>
      <w:r>
        <w:rPr>
          <w:i/>
          <w:color w:val="000000"/>
        </w:rPr>
        <w:t>Химический факультет</w:t>
      </w:r>
      <w:r w:rsidRPr="005E06A5">
        <w:rPr>
          <w:i/>
          <w:color w:val="000000"/>
        </w:rPr>
        <w:t>, Москва, Россия</w:t>
      </w:r>
    </w:p>
    <w:p w14:paraId="3A29A7EC" w14:textId="77777777" w:rsidR="000E2C8B" w:rsidRPr="00EA28B8" w:rsidRDefault="000E2C8B" w:rsidP="00832F29">
      <w:pPr>
        <w:jc w:val="center"/>
        <w:rPr>
          <w:i/>
          <w:color w:val="000000"/>
          <w:u w:val="single"/>
        </w:rPr>
      </w:pPr>
      <w:r>
        <w:rPr>
          <w:i/>
          <w:color w:val="000000"/>
        </w:rPr>
        <w:t xml:space="preserve">E-mail: </w:t>
      </w:r>
      <w:r w:rsidRPr="00EA28B8">
        <w:rPr>
          <w:i/>
          <w:color w:val="000000"/>
          <w:u w:val="single"/>
        </w:rPr>
        <w:t>kkazakova190800@mail.ru</w:t>
      </w:r>
    </w:p>
    <w:p w14:paraId="4044F930" w14:textId="77777777" w:rsidR="00C26D2E" w:rsidRDefault="000E2C8B" w:rsidP="00A202EA">
      <w:pPr>
        <w:pBdr>
          <w:top w:val="nil"/>
          <w:left w:val="nil"/>
          <w:bottom w:val="nil"/>
          <w:right w:val="nil"/>
          <w:between w:val="nil"/>
        </w:pBdr>
        <w:shd w:val="clear" w:color="auto" w:fill="FFFFFF"/>
        <w:ind w:firstLine="397"/>
        <w:jc w:val="both"/>
      </w:pPr>
      <w:r>
        <w:t xml:space="preserve">Наиболее эффективными для задач низкопотенциальной детекции </w:t>
      </w:r>
      <w:r>
        <w:rPr>
          <w:lang w:val="en-US"/>
        </w:rPr>
        <w:t>H</w:t>
      </w:r>
      <w:r w:rsidRPr="003B6D66">
        <w:rPr>
          <w:vertAlign w:val="subscript"/>
        </w:rPr>
        <w:t>2</w:t>
      </w:r>
      <w:r>
        <w:rPr>
          <w:lang w:val="en-US"/>
        </w:rPr>
        <w:t>O</w:t>
      </w:r>
      <w:r w:rsidRPr="003B6D66">
        <w:rPr>
          <w:vertAlign w:val="subscript"/>
        </w:rPr>
        <w:t>2</w:t>
      </w:r>
      <w:r w:rsidRPr="00037AF4">
        <w:t xml:space="preserve"> </w:t>
      </w:r>
      <w:r>
        <w:t xml:space="preserve">являются </w:t>
      </w:r>
      <w:proofErr w:type="spellStart"/>
      <w:r>
        <w:t>электрокатализаторы</w:t>
      </w:r>
      <w:proofErr w:type="spellEnd"/>
      <w:r>
        <w:t xml:space="preserve">, содержащие ионы железа, при этом каталитическая реакция на их поверхности протекает за счет редокс-превращений последнего. Существующие </w:t>
      </w:r>
      <w:proofErr w:type="spellStart"/>
      <w:r>
        <w:t>электрокатализаторы</w:t>
      </w:r>
      <w:proofErr w:type="spellEnd"/>
      <w:r>
        <w:t>, демонстрирующие высокую чувствительность к Н</w:t>
      </w:r>
      <w:r w:rsidRPr="003B6D66">
        <w:rPr>
          <w:vertAlign w:val="subscript"/>
        </w:rPr>
        <w:t>2</w:t>
      </w:r>
      <w:r>
        <w:t>О</w:t>
      </w:r>
      <w:r w:rsidRPr="003B6D66">
        <w:rPr>
          <w:vertAlign w:val="subscript"/>
        </w:rPr>
        <w:t>2</w:t>
      </w:r>
      <w:r>
        <w:t xml:space="preserve"> (</w:t>
      </w:r>
      <w:r w:rsidR="00BF6D70">
        <w:t xml:space="preserve">берлинская лазурь, </w:t>
      </w:r>
      <w:proofErr w:type="spellStart"/>
      <w:r>
        <w:t>пероксидаза</w:t>
      </w:r>
      <w:proofErr w:type="spellEnd"/>
      <w:r>
        <w:t xml:space="preserve">, включенная в прямой </w:t>
      </w:r>
      <w:proofErr w:type="spellStart"/>
      <w:r>
        <w:t>биоэлектрокатализ</w:t>
      </w:r>
      <w:proofErr w:type="spellEnd"/>
      <w:r>
        <w:t>), обладают низкой стабильностью</w:t>
      </w:r>
      <w:r w:rsidR="00CE7151">
        <w:fldChar w:fldCharType="begin" w:fldLock="1"/>
      </w:r>
      <w:r w:rsidR="00CE7151">
        <w:instrText>ADDIN CSL_CITATION {"citationItems":[{"id":"ITEM-1","itemData":{"DOI":"10.1016/j.coelec.2017.07.006","ISSN":"24519111","abstract":"The aim of the present article is to review the current state of knowledge concerning advances of Prussian blue and its analogues in chemical and biological sensors. Despite deposition of these materials has been already discussed, an appearance of recent articles presenting poorly synthesized transition metal hexacyanoferrates, causes review of the synthetic procedures. The significance of Prussian blue for (bio)sensors is provided by its unique catalytic properties: both catalytic activity and selectivity in hydrogen peroxide reduction are &gt;1000 times higher compared to platinum, whereas clinical analyzers and low-invasive monitors are equipped with Pt-based biosensors. Non-iron (nickel, cobalt, cupric etc.) hexacyanoferrates are catalytically inactive, however, they are highly attractive for stabilization of Prussian blue resulting in synthesis of the 'super-stable’ Prussian blue-based electrocatalyst. The protocol for enzyme immobilization from water–organic mixtures with a high content of organic solvent is discussed. Combination of the most advantageous electrocatalyst (Prussian blue) and the improved immobilization protocol results in elaboration of the advanced biosensors. Their unique sensitivity, selectivity and operational stability (even compared with platinum-based ones) provide application for non-invasive diagnostics.","author":[{"dropping-particle":"","family":"Karyakin","given":"Arkady A.","non-dropping-particle":"","parse-names":false,"suffix":""}],"container-title":"Current Opinion in Electrochemistry","id":"ITEM-1","issue":"1","issued":{"date-parts":[["2017"]]},"page":"92-98","publisher":"Elsevier B.V.","title":"Advances of Prussian blue and its analogues in (bio)sensors","type":"article-journal","volume":"5"},"uris":["http://www.mendeley.com/documents/?uuid=338bf209-c456-4b77-898f-74279a30f05a"]}],"mendeley":{"formattedCitation":"[1]","plainTextFormattedCitation":"[1]","previouslyFormattedCitation":"[1]"},"properties":{"noteIndex":0},"schema":"https://github.com/citation-style-language/schema/raw/master/csl-citation.json"}</w:instrText>
      </w:r>
      <w:r w:rsidR="00CE7151">
        <w:fldChar w:fldCharType="separate"/>
      </w:r>
      <w:r w:rsidR="00CE7151" w:rsidRPr="00CE7151">
        <w:rPr>
          <w:noProof/>
        </w:rPr>
        <w:t>[1]</w:t>
      </w:r>
      <w:r w:rsidR="00CE7151">
        <w:fldChar w:fldCharType="end"/>
      </w:r>
      <w:r>
        <w:t>. В то же время, более стабильные материалы не обладают достаточной селективностью и чувствительностью.</w:t>
      </w:r>
    </w:p>
    <w:p w14:paraId="50512DBB" w14:textId="77777777" w:rsidR="000E2C8B" w:rsidRDefault="000E2C8B" w:rsidP="00A202EA">
      <w:pPr>
        <w:ind w:firstLine="397"/>
        <w:jc w:val="both"/>
        <w:textAlignment w:val="baseline"/>
      </w:pPr>
      <w:r>
        <w:t xml:space="preserve">Целью данной работы является синтез высокочувствительных и </w:t>
      </w:r>
      <w:proofErr w:type="spellStart"/>
      <w:r>
        <w:t>операционно</w:t>
      </w:r>
      <w:proofErr w:type="spellEnd"/>
      <w:r>
        <w:t xml:space="preserve"> стабильных</w:t>
      </w:r>
      <w:r w:rsidRPr="00884A53">
        <w:t xml:space="preserve"> </w:t>
      </w:r>
      <w:proofErr w:type="spellStart"/>
      <w:r w:rsidRPr="00884A53">
        <w:t>электрокатализатор</w:t>
      </w:r>
      <w:r>
        <w:t>ов</w:t>
      </w:r>
      <w:proofErr w:type="spellEnd"/>
      <w:r w:rsidRPr="00884A53">
        <w:t xml:space="preserve"> восстановления Н</w:t>
      </w:r>
      <w:r w:rsidRPr="00884A53">
        <w:rPr>
          <w:vertAlign w:val="subscript"/>
        </w:rPr>
        <w:t>2</w:t>
      </w:r>
      <w:r w:rsidRPr="00884A53">
        <w:t>О</w:t>
      </w:r>
      <w:r w:rsidRPr="00884A53">
        <w:rPr>
          <w:vertAlign w:val="subscript"/>
        </w:rPr>
        <w:t>2</w:t>
      </w:r>
      <w:r w:rsidRPr="00884A53">
        <w:t xml:space="preserve"> на основе </w:t>
      </w:r>
      <w:r>
        <w:t xml:space="preserve">восстановленного оксида графена (ОГ), </w:t>
      </w:r>
      <w:proofErr w:type="spellStart"/>
      <w:r>
        <w:t>интеркалированного</w:t>
      </w:r>
      <w:proofErr w:type="spellEnd"/>
      <w:r>
        <w:t xml:space="preserve"> </w:t>
      </w:r>
      <w:r>
        <w:rPr>
          <w:lang w:val="en-US"/>
        </w:rPr>
        <w:t>Fe</w:t>
      </w:r>
      <w:r w:rsidRPr="00884A53">
        <w:rPr>
          <w:vertAlign w:val="superscript"/>
        </w:rPr>
        <w:t>2+</w:t>
      </w:r>
      <w:r>
        <w:t>.</w:t>
      </w:r>
    </w:p>
    <w:p w14:paraId="3F9B3439" w14:textId="77777777" w:rsidR="00C26D2E" w:rsidRDefault="000E2C8B" w:rsidP="00A202EA">
      <w:pPr>
        <w:ind w:firstLine="397"/>
        <w:jc w:val="both"/>
        <w:textAlignment w:val="baseline"/>
      </w:pPr>
      <w:r>
        <w:t xml:space="preserve">Синтез </w:t>
      </w:r>
      <w:proofErr w:type="spellStart"/>
      <w:r>
        <w:t>электрокаталитических</w:t>
      </w:r>
      <w:proofErr w:type="spellEnd"/>
      <w:r>
        <w:t xml:space="preserve"> покрытий осуществляли путём нанесения оксидов графена различного состава на электродные подложки и их дальнейшего электрохимического восстановления в ходе линейной катодной развертки потенциала до значений от -0.5 до -2.0 В. Восстановление проводили в растворах, содержащих ионы </w:t>
      </w:r>
      <w:r>
        <w:rPr>
          <w:lang w:val="en-US"/>
        </w:rPr>
        <w:t>Fe</w:t>
      </w:r>
      <w:r w:rsidRPr="00211B16">
        <w:rPr>
          <w:vertAlign w:val="superscript"/>
        </w:rPr>
        <w:t>2+</w:t>
      </w:r>
      <w:r w:rsidRPr="00211B16">
        <w:t xml:space="preserve"> </w:t>
      </w:r>
      <w:r>
        <w:t xml:space="preserve">и </w:t>
      </w:r>
      <w:r>
        <w:rPr>
          <w:lang w:val="en-US"/>
        </w:rPr>
        <w:t>K</w:t>
      </w:r>
      <w:r w:rsidRPr="00780CA9">
        <w:rPr>
          <w:vertAlign w:val="superscript"/>
        </w:rPr>
        <w:t>+</w:t>
      </w:r>
      <w:r>
        <w:t xml:space="preserve"> </w:t>
      </w:r>
      <w:r w:rsidRPr="003B6D66">
        <w:t>(</w:t>
      </w:r>
      <w:r>
        <w:t xml:space="preserve">последние – </w:t>
      </w:r>
      <w:r w:rsidRPr="003B6D66">
        <w:t>в качестве образцов сравнения)</w:t>
      </w:r>
      <w:r>
        <w:t xml:space="preserve">, </w:t>
      </w:r>
      <w:proofErr w:type="spellStart"/>
      <w:r>
        <w:t>интеркалируемые</w:t>
      </w:r>
      <w:proofErr w:type="spellEnd"/>
      <w:r>
        <w:t xml:space="preserve"> в водной среде в межслоевое пространство слоистого покрытия на основе ОГ. Установлено, что при потенциалах </w:t>
      </w:r>
      <w:proofErr w:type="spellStart"/>
      <w:r>
        <w:t>катоднее</w:t>
      </w:r>
      <w:proofErr w:type="spellEnd"/>
      <w:r>
        <w:t xml:space="preserve"> -1.2 В относительно ХСЭ наблюдается восстановление ОГ и протона, а </w:t>
      </w:r>
      <w:proofErr w:type="spellStart"/>
      <w:r>
        <w:t>электроактивность</w:t>
      </w:r>
      <w:proofErr w:type="spellEnd"/>
      <w:r>
        <w:t xml:space="preserve">, наблюдаемая на </w:t>
      </w:r>
      <w:proofErr w:type="spellStart"/>
      <w:r>
        <w:t>вольтамперограммах</w:t>
      </w:r>
      <w:proofErr w:type="spellEnd"/>
      <w:r>
        <w:t xml:space="preserve"> при потенциалах от -0,2 до -1.0 В, соответствует восстановлению растворенного кислорода.</w:t>
      </w:r>
    </w:p>
    <w:p w14:paraId="0BFCC8B8" w14:textId="77777777" w:rsidR="00C26D2E" w:rsidRDefault="000E2C8B" w:rsidP="00A202EA">
      <w:pPr>
        <w:ind w:firstLine="397"/>
        <w:jc w:val="both"/>
        <w:textAlignment w:val="baseline"/>
      </w:pPr>
      <w:r>
        <w:t xml:space="preserve">В ходе синтеза покрытий путём восстановления </w:t>
      </w:r>
      <w:proofErr w:type="spellStart"/>
      <w:r>
        <w:t>аминированного</w:t>
      </w:r>
      <w:proofErr w:type="spellEnd"/>
      <w:r>
        <w:t xml:space="preserve"> оксида графена в присутствии ионов </w:t>
      </w:r>
      <w:r>
        <w:rPr>
          <w:lang w:val="en-US"/>
        </w:rPr>
        <w:t>Fe</w:t>
      </w:r>
      <w:r w:rsidRPr="00CA0D02">
        <w:rPr>
          <w:vertAlign w:val="superscript"/>
        </w:rPr>
        <w:t>2+</w:t>
      </w:r>
      <w:r>
        <w:t xml:space="preserve"> было </w:t>
      </w:r>
      <w:r w:rsidRPr="007F59EB">
        <w:t xml:space="preserve">проведено </w:t>
      </w:r>
      <w:proofErr w:type="spellStart"/>
      <w:r w:rsidRPr="007F59EB">
        <w:t>in</w:t>
      </w:r>
      <w:proofErr w:type="spellEnd"/>
      <w:r w:rsidRPr="007F59EB">
        <w:t xml:space="preserve"> </w:t>
      </w:r>
      <w:proofErr w:type="spellStart"/>
      <w:r w:rsidRPr="007F59EB">
        <w:t>situ</w:t>
      </w:r>
      <w:proofErr w:type="spellEnd"/>
      <w:r w:rsidRPr="007F59EB">
        <w:t xml:space="preserve"> </w:t>
      </w:r>
      <w:proofErr w:type="spellStart"/>
      <w:r w:rsidRPr="007F59EB">
        <w:t>спектроэлектрохимическое</w:t>
      </w:r>
      <w:proofErr w:type="spellEnd"/>
      <w:r w:rsidRPr="007F59EB">
        <w:t xml:space="preserve"> исследование с использованием </w:t>
      </w:r>
      <w:proofErr w:type="spellStart"/>
      <w:r w:rsidRPr="007F59EB">
        <w:t>рамановской</w:t>
      </w:r>
      <w:proofErr w:type="spellEnd"/>
      <w:r w:rsidRPr="007F59EB">
        <w:t xml:space="preserve"> спектроскопии</w:t>
      </w:r>
      <w:r>
        <w:t xml:space="preserve">. Установлено, что при потенциалах </w:t>
      </w:r>
      <w:proofErr w:type="spellStart"/>
      <w:r>
        <w:t>катоднее</w:t>
      </w:r>
      <w:proofErr w:type="spellEnd"/>
      <w:r>
        <w:t xml:space="preserve"> -0.75В появляются моды в области 2093 и 2025 см</w:t>
      </w:r>
      <w:r w:rsidRPr="00CA0D02">
        <w:rPr>
          <w:vertAlign w:val="superscript"/>
        </w:rPr>
        <w:t>-1</w:t>
      </w:r>
      <w:r>
        <w:t>, соответствующие</w:t>
      </w:r>
      <w:r w:rsidRPr="00CA0D02">
        <w:t xml:space="preserve"> </w:t>
      </w:r>
      <w:r>
        <w:t>колебаниям групп –</w:t>
      </w:r>
      <w:r>
        <w:rPr>
          <w:lang w:val="en-US"/>
        </w:rPr>
        <w:t>C</w:t>
      </w:r>
      <w:r w:rsidRPr="003B6D66">
        <w:t>≡</w:t>
      </w:r>
      <w:r>
        <w:rPr>
          <w:lang w:val="en-US"/>
        </w:rPr>
        <w:t>N</w:t>
      </w:r>
      <w:r>
        <w:t xml:space="preserve"> (подобные таковым в катализаторах на основе берлинской лазури). Вероятно, подобное восстановление </w:t>
      </w:r>
      <w:proofErr w:type="spellStart"/>
      <w:proofErr w:type="gramStart"/>
      <w:r>
        <w:t>амино</w:t>
      </w:r>
      <w:proofErr w:type="spellEnd"/>
      <w:r>
        <w:t>-группы</w:t>
      </w:r>
      <w:proofErr w:type="gramEnd"/>
      <w:r>
        <w:t xml:space="preserve"> с образованием так называемых </w:t>
      </w:r>
      <w:r>
        <w:rPr>
          <w:lang w:val="en-US"/>
        </w:rPr>
        <w:t>Fe</w:t>
      </w:r>
      <w:r w:rsidRPr="00922A92">
        <w:t>-</w:t>
      </w:r>
      <w:r>
        <w:rPr>
          <w:lang w:val="en-US"/>
        </w:rPr>
        <w:t>NC</w:t>
      </w:r>
      <w:r w:rsidRPr="00922A92">
        <w:t xml:space="preserve"> </w:t>
      </w:r>
      <w:r>
        <w:t xml:space="preserve">структур обуславливает </w:t>
      </w:r>
      <w:proofErr w:type="spellStart"/>
      <w:r>
        <w:t>электрокаталитичекую</w:t>
      </w:r>
      <w:proofErr w:type="spellEnd"/>
      <w:r>
        <w:t xml:space="preserve"> активность синтезируемого материала. Действительно, чувствительность к пероксиду покрытий, полученных при поляризации до различных катодных потенциалов, находится в хорошем соответствии с интенсивностью мод, соответствующих колебаниям групп –</w:t>
      </w:r>
      <w:r>
        <w:rPr>
          <w:lang w:val="en-US"/>
        </w:rPr>
        <w:t>C</w:t>
      </w:r>
      <w:r w:rsidRPr="003B6D66">
        <w:t>≡</w:t>
      </w:r>
      <w:r>
        <w:rPr>
          <w:lang w:val="en-US"/>
        </w:rPr>
        <w:t>N</w:t>
      </w:r>
      <w:r>
        <w:t xml:space="preserve">. Предельные значения чувствительности равные 0,12 </w:t>
      </w:r>
      <w:r w:rsidRPr="00016EF9">
        <w:t>А∙М</w:t>
      </w:r>
      <w:r w:rsidRPr="00016EF9">
        <w:rPr>
          <w:vertAlign w:val="superscript"/>
        </w:rPr>
        <w:t>-1</w:t>
      </w:r>
      <w:r w:rsidRPr="00016EF9">
        <w:t>∙см</w:t>
      </w:r>
      <w:r w:rsidRPr="00016EF9">
        <w:rPr>
          <w:vertAlign w:val="superscript"/>
        </w:rPr>
        <w:t>-2</w:t>
      </w:r>
      <w:r>
        <w:rPr>
          <w:vertAlign w:val="superscript"/>
        </w:rPr>
        <w:t xml:space="preserve"> </w:t>
      </w:r>
      <w:r>
        <w:t>достигаются в случае поляризации слоя ОГ до потенциалов</w:t>
      </w:r>
      <w:r w:rsidRPr="008C714C">
        <w:t xml:space="preserve"> -1.25 В </w:t>
      </w:r>
      <w:r>
        <w:t>и ниже.</w:t>
      </w:r>
    </w:p>
    <w:p w14:paraId="14B80C36" w14:textId="32007ED5" w:rsidR="000E2C8B" w:rsidRDefault="000E2C8B" w:rsidP="00A202EA">
      <w:pPr>
        <w:ind w:firstLine="397"/>
        <w:jc w:val="both"/>
        <w:textAlignment w:val="baseline"/>
      </w:pPr>
      <w:r>
        <w:t xml:space="preserve">Продемонстрировано, что </w:t>
      </w:r>
      <w:proofErr w:type="spellStart"/>
      <w:r>
        <w:t>электрокаталитическая</w:t>
      </w:r>
      <w:proofErr w:type="spellEnd"/>
      <w:r>
        <w:t xml:space="preserve"> активность синтезированных материалов обусловлена </w:t>
      </w:r>
      <w:proofErr w:type="spellStart"/>
      <w:r>
        <w:t>электроактивностью</w:t>
      </w:r>
      <w:proofErr w:type="spellEnd"/>
      <w:r>
        <w:t xml:space="preserve"> </w:t>
      </w:r>
      <w:proofErr w:type="spellStart"/>
      <w:r>
        <w:t>интеркалированного</w:t>
      </w:r>
      <w:proofErr w:type="spellEnd"/>
      <w:r>
        <w:t xml:space="preserve"> иона </w:t>
      </w:r>
      <w:r>
        <w:rPr>
          <w:lang w:val="en-US"/>
        </w:rPr>
        <w:t>Fe</w:t>
      </w:r>
      <w:r w:rsidRPr="003B6D66">
        <w:rPr>
          <w:vertAlign w:val="superscript"/>
        </w:rPr>
        <w:t>2+</w:t>
      </w:r>
      <w:r>
        <w:t xml:space="preserve">. Так, </w:t>
      </w:r>
      <w:r w:rsidRPr="006E2E96">
        <w:t xml:space="preserve">чувствительность для сенсоров на основе покрытий, полученных </w:t>
      </w:r>
      <w:proofErr w:type="spellStart"/>
      <w:r>
        <w:t>электровосстановлением</w:t>
      </w:r>
      <w:proofErr w:type="spellEnd"/>
      <w:r>
        <w:t xml:space="preserve"> </w:t>
      </w:r>
      <w:r w:rsidRPr="006E2E96">
        <w:t>в присутствии К</w:t>
      </w:r>
      <w:r w:rsidRPr="006E2E96">
        <w:rPr>
          <w:vertAlign w:val="superscript"/>
        </w:rPr>
        <w:t>+</w:t>
      </w:r>
      <w:r w:rsidRPr="006E2E96">
        <w:t xml:space="preserve"> </w:t>
      </w:r>
      <w:r>
        <w:t>более чем в 5 раз</w:t>
      </w:r>
      <w:r w:rsidRPr="006E2E96">
        <w:t xml:space="preserve"> ниже, чем для покрытий, синтезированных в присутствии </w:t>
      </w:r>
      <w:r w:rsidRPr="006E2E96">
        <w:rPr>
          <w:lang w:val="en-US"/>
        </w:rPr>
        <w:t>Fe</w:t>
      </w:r>
      <w:r w:rsidRPr="006E2E96">
        <w:rPr>
          <w:vertAlign w:val="superscript"/>
        </w:rPr>
        <w:t>2+</w:t>
      </w:r>
      <w:r w:rsidRPr="006E2E96">
        <w:t>.</w:t>
      </w:r>
    </w:p>
    <w:p w14:paraId="580E8E83" w14:textId="29CBACC8" w:rsidR="00076699" w:rsidRPr="00B407B2" w:rsidRDefault="00C82C39" w:rsidP="00A202EA">
      <w:pPr>
        <w:pBdr>
          <w:top w:val="nil"/>
          <w:left w:val="nil"/>
          <w:bottom w:val="nil"/>
          <w:right w:val="nil"/>
          <w:between w:val="nil"/>
        </w:pBdr>
        <w:shd w:val="clear" w:color="auto" w:fill="FFFFFF"/>
        <w:ind w:firstLine="397"/>
        <w:jc w:val="both"/>
      </w:pPr>
      <w:r>
        <w:rPr>
          <w:i/>
          <w:iCs/>
        </w:rPr>
        <w:t>Работа выполнена при финансовой поддержке гранта РНФ</w:t>
      </w:r>
      <w:r w:rsidR="00076699" w:rsidRPr="008E6B82">
        <w:rPr>
          <w:i/>
          <w:iCs/>
        </w:rPr>
        <w:t xml:space="preserve"> № 25-23-20180</w:t>
      </w:r>
      <w:r w:rsidR="00076699" w:rsidRPr="00FA2707">
        <w:rPr>
          <w:i/>
          <w:iCs/>
        </w:rPr>
        <w:t>.</w:t>
      </w:r>
    </w:p>
    <w:p w14:paraId="3EA9183B" w14:textId="77777777" w:rsidR="00701217" w:rsidRPr="006C25DE" w:rsidRDefault="00701217" w:rsidP="00C26D2E">
      <w:pPr>
        <w:jc w:val="center"/>
        <w:textAlignment w:val="baseline"/>
        <w:rPr>
          <w:lang w:val="en-US"/>
        </w:rPr>
      </w:pPr>
      <w:r w:rsidRPr="005E06A5">
        <w:rPr>
          <w:b/>
        </w:rPr>
        <w:t>Литература</w:t>
      </w:r>
    </w:p>
    <w:p w14:paraId="57680905" w14:textId="77777777" w:rsidR="005774A6" w:rsidRDefault="005774A6" w:rsidP="00C26D2E">
      <w:pPr>
        <w:jc w:val="both"/>
        <w:rPr>
          <w:color w:val="000000"/>
        </w:rPr>
      </w:pPr>
      <w:r w:rsidRPr="005774A6">
        <w:rPr>
          <w:color w:val="000000"/>
          <w:lang w:val="en-US"/>
        </w:rPr>
        <w:t xml:space="preserve">1. Karyakin A.A. Advances of Prussian blue and its analogues in (bio)sensors // Curr. </w:t>
      </w:r>
      <w:proofErr w:type="spellStart"/>
      <w:r w:rsidRPr="005774A6">
        <w:rPr>
          <w:color w:val="000000"/>
        </w:rPr>
        <w:t>Opin</w:t>
      </w:r>
      <w:proofErr w:type="spellEnd"/>
      <w:r w:rsidRPr="005774A6">
        <w:rPr>
          <w:color w:val="000000"/>
        </w:rPr>
        <w:t xml:space="preserve">. </w:t>
      </w:r>
      <w:proofErr w:type="spellStart"/>
      <w:r w:rsidRPr="005774A6">
        <w:rPr>
          <w:color w:val="000000"/>
        </w:rPr>
        <w:t>Electrochem</w:t>
      </w:r>
      <w:proofErr w:type="spellEnd"/>
      <w:r w:rsidRPr="005774A6">
        <w:rPr>
          <w:color w:val="000000"/>
        </w:rPr>
        <w:t xml:space="preserve">. </w:t>
      </w:r>
      <w:proofErr w:type="spellStart"/>
      <w:r w:rsidRPr="005774A6">
        <w:rPr>
          <w:color w:val="000000"/>
        </w:rPr>
        <w:t>Elsevier</w:t>
      </w:r>
      <w:proofErr w:type="spellEnd"/>
      <w:r w:rsidRPr="005774A6">
        <w:rPr>
          <w:color w:val="000000"/>
        </w:rPr>
        <w:t xml:space="preserve"> B.V., 2017. </w:t>
      </w:r>
      <w:proofErr w:type="spellStart"/>
      <w:r w:rsidRPr="005774A6">
        <w:rPr>
          <w:color w:val="000000"/>
        </w:rPr>
        <w:t>Vol</w:t>
      </w:r>
      <w:proofErr w:type="spellEnd"/>
      <w:r w:rsidRPr="005774A6">
        <w:rPr>
          <w:color w:val="000000"/>
        </w:rPr>
        <w:t>. 5, № 1. P. 92–98.</w:t>
      </w:r>
    </w:p>
    <w:sectPr w:rsidR="005774A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2012567">
    <w:abstractNumId w:val="2"/>
  </w:num>
  <w:num w:numId="2" w16cid:durableId="1823887151">
    <w:abstractNumId w:val="3"/>
  </w:num>
  <w:num w:numId="3" w16cid:durableId="2091850151">
    <w:abstractNumId w:val="1"/>
  </w:num>
  <w:num w:numId="4" w16cid:durableId="98817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76699"/>
    <w:rsid w:val="000838EB"/>
    <w:rsid w:val="00086081"/>
    <w:rsid w:val="0009449A"/>
    <w:rsid w:val="00094FD0"/>
    <w:rsid w:val="000E2C8B"/>
    <w:rsid w:val="000E334E"/>
    <w:rsid w:val="00101A1C"/>
    <w:rsid w:val="00103657"/>
    <w:rsid w:val="00106375"/>
    <w:rsid w:val="00107AA3"/>
    <w:rsid w:val="00116478"/>
    <w:rsid w:val="00130241"/>
    <w:rsid w:val="001A1198"/>
    <w:rsid w:val="001E61C2"/>
    <w:rsid w:val="001F0493"/>
    <w:rsid w:val="0022260A"/>
    <w:rsid w:val="002264EE"/>
    <w:rsid w:val="0023307C"/>
    <w:rsid w:val="0031361E"/>
    <w:rsid w:val="00391C38"/>
    <w:rsid w:val="003B76D6"/>
    <w:rsid w:val="003E2601"/>
    <w:rsid w:val="003F4E6B"/>
    <w:rsid w:val="004811D0"/>
    <w:rsid w:val="004A26A3"/>
    <w:rsid w:val="004F0EDF"/>
    <w:rsid w:val="00522BF1"/>
    <w:rsid w:val="005774A6"/>
    <w:rsid w:val="00590166"/>
    <w:rsid w:val="005D022B"/>
    <w:rsid w:val="005E5BE9"/>
    <w:rsid w:val="0069427D"/>
    <w:rsid w:val="006C25DE"/>
    <w:rsid w:val="006F7A19"/>
    <w:rsid w:val="00701217"/>
    <w:rsid w:val="007213E1"/>
    <w:rsid w:val="00775389"/>
    <w:rsid w:val="00797838"/>
    <w:rsid w:val="007C36D8"/>
    <w:rsid w:val="007F2744"/>
    <w:rsid w:val="00832F29"/>
    <w:rsid w:val="008931BE"/>
    <w:rsid w:val="008C67E3"/>
    <w:rsid w:val="00914205"/>
    <w:rsid w:val="00921D45"/>
    <w:rsid w:val="009426C0"/>
    <w:rsid w:val="00980A65"/>
    <w:rsid w:val="009A66DB"/>
    <w:rsid w:val="009B2F80"/>
    <w:rsid w:val="009B3300"/>
    <w:rsid w:val="009B5DD0"/>
    <w:rsid w:val="009F3380"/>
    <w:rsid w:val="00A02163"/>
    <w:rsid w:val="00A202EA"/>
    <w:rsid w:val="00A314FE"/>
    <w:rsid w:val="00AD7380"/>
    <w:rsid w:val="00B407B2"/>
    <w:rsid w:val="00BF36F8"/>
    <w:rsid w:val="00BF4622"/>
    <w:rsid w:val="00BF6D70"/>
    <w:rsid w:val="00C07F15"/>
    <w:rsid w:val="00C26D2E"/>
    <w:rsid w:val="00C82C39"/>
    <w:rsid w:val="00C844E2"/>
    <w:rsid w:val="00CD00B1"/>
    <w:rsid w:val="00CE7151"/>
    <w:rsid w:val="00D22306"/>
    <w:rsid w:val="00D42542"/>
    <w:rsid w:val="00D8121C"/>
    <w:rsid w:val="00DC56AA"/>
    <w:rsid w:val="00E22189"/>
    <w:rsid w:val="00E57110"/>
    <w:rsid w:val="00E74069"/>
    <w:rsid w:val="00E81D35"/>
    <w:rsid w:val="00EB1F49"/>
    <w:rsid w:val="00F66708"/>
    <w:rsid w:val="00F865B3"/>
    <w:rsid w:val="00FA7C32"/>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967A6-D6EF-4718-9B15-E2D0CFF0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Иван Chernoukhov</cp:lastModifiedBy>
  <cp:revision>2</cp:revision>
  <dcterms:created xsi:type="dcterms:W3CDTF">2025-03-22T20:26:00Z</dcterms:created>
  <dcterms:modified xsi:type="dcterms:W3CDTF">2025-03-22T20:26:00Z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b4364226-8811-3b4f-8fe1-936f64d2a003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http://www.zotero.org/styles/gost-r-7-0-5-2008-numeric-alphabetical</vt:lpwstr>
  </property>
  <property fmtid="{D5CDD505-2E9C-101B-9397-08002B2CF9AE}" pid="24" name="Mendeley Recent Style Name 9_1">
    <vt:lpwstr>Russian GOST R 7.0.5-2008 (numeric, sorted alphabetically, Ру́сский)</vt:lpwstr>
  </property>
</Properties>
</file>