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6588" w14:textId="77777777" w:rsidR="008B5D50" w:rsidRDefault="002C3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C3016">
        <w:rPr>
          <w:b/>
          <w:color w:val="000000"/>
        </w:rPr>
        <w:t>Сорбция и транспорт молекул этанола в оксиде графена</w:t>
      </w:r>
    </w:p>
    <w:p w14:paraId="00000002" w14:textId="22BC18C2" w:rsidR="00130241" w:rsidRPr="002C3016" w:rsidRDefault="002C3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Лесных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Гурьянов К.Е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Елисееев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2</w:t>
      </w:r>
    </w:p>
    <w:p w14:paraId="00000003" w14:textId="4B2C3370" w:rsidR="00130241" w:rsidRDefault="002C3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0000005" w14:textId="26EE7B7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772E62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2C3016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C53A72E" w14:textId="1E686B70" w:rsidR="00AD7380" w:rsidRDefault="002C3016" w:rsidP="002C3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 w:rsidR="00772E62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00000008" w14:textId="7C5E65AB" w:rsidR="00130241" w:rsidRPr="0039782D" w:rsidRDefault="00EB1F49" w:rsidP="00772E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9782D">
        <w:rPr>
          <w:i/>
          <w:color w:val="000000"/>
          <w:lang w:val="en-US"/>
        </w:rPr>
        <w:t>E</w:t>
      </w:r>
      <w:r w:rsidR="003B76D6" w:rsidRPr="0039782D">
        <w:rPr>
          <w:i/>
          <w:color w:val="000000"/>
          <w:lang w:val="en-US"/>
        </w:rPr>
        <w:t>-</w:t>
      </w:r>
      <w:r w:rsidRPr="0039782D">
        <w:rPr>
          <w:i/>
          <w:color w:val="000000"/>
          <w:lang w:val="en-US"/>
        </w:rPr>
        <w:t xml:space="preserve">mail: </w:t>
      </w:r>
      <w:r w:rsidR="002C3016">
        <w:rPr>
          <w:i/>
          <w:color w:val="000000"/>
          <w:u w:val="single"/>
          <w:lang w:val="en-US"/>
        </w:rPr>
        <w:t>lesnykhaa</w:t>
      </w:r>
      <w:r w:rsidR="002C3016" w:rsidRPr="0039782D">
        <w:rPr>
          <w:i/>
          <w:color w:val="000000"/>
          <w:u w:val="single"/>
          <w:lang w:val="en-US"/>
        </w:rPr>
        <w:t>@</w:t>
      </w:r>
      <w:r w:rsidR="002C3016">
        <w:rPr>
          <w:i/>
          <w:color w:val="000000"/>
          <w:u w:val="single"/>
          <w:lang w:val="en-US"/>
        </w:rPr>
        <w:t>my</w:t>
      </w:r>
      <w:r w:rsidR="002C3016" w:rsidRPr="0039782D">
        <w:rPr>
          <w:i/>
          <w:color w:val="000000"/>
          <w:u w:val="single"/>
          <w:lang w:val="en-US"/>
        </w:rPr>
        <w:t>.</w:t>
      </w:r>
      <w:r w:rsidR="002C3016">
        <w:rPr>
          <w:i/>
          <w:color w:val="000000"/>
          <w:u w:val="single"/>
          <w:lang w:val="en-US"/>
        </w:rPr>
        <w:t>msu</w:t>
      </w:r>
      <w:r w:rsidR="002C3016" w:rsidRPr="0039782D">
        <w:rPr>
          <w:i/>
          <w:color w:val="000000"/>
          <w:u w:val="single"/>
          <w:lang w:val="en-US"/>
        </w:rPr>
        <w:t>.</w:t>
      </w:r>
      <w:r w:rsidR="0039782D">
        <w:rPr>
          <w:i/>
          <w:color w:val="000000"/>
          <w:u w:val="single"/>
          <w:lang w:val="en-US"/>
        </w:rPr>
        <w:t>ru</w:t>
      </w:r>
    </w:p>
    <w:p w14:paraId="2CD94C16" w14:textId="77777777" w:rsidR="0039782D" w:rsidRDefault="0039782D" w:rsidP="008B5D50">
      <w:pPr>
        <w:pStyle w:val="30"/>
        <w:spacing w:after="0"/>
        <w:ind w:firstLine="397"/>
        <w:jc w:val="both"/>
      </w:pPr>
      <w:r>
        <w:t>Процессы мембранного разделения газов и жидких смесей находят широкое применение в промышленности. К настоящему моменту мембраны широко используются в процессах очистки и опреснения воды, газоразделения, медицине и водородной энергетике. В подавляющем большинстве для процессов разделения используются полимерные мембраны, предельные проницаемости и селективности которых обратно пропорциональны друг другу. В связи с этим, исследование и разработка принципиально нового семейства мембранных материалов является перспективным направлением материаловедения.</w:t>
      </w:r>
    </w:p>
    <w:p w14:paraId="2748ACC7" w14:textId="77777777" w:rsidR="0039782D" w:rsidRDefault="0039782D" w:rsidP="008B5D50">
      <w:pPr>
        <w:pStyle w:val="30"/>
        <w:spacing w:after="0"/>
        <w:ind w:firstLine="397"/>
        <w:jc w:val="both"/>
      </w:pPr>
      <w:r>
        <w:t>Одним из перспективных и хорошо изученных материалов для таких мембран является оксид графена, представляющий собой лист графена атомарной толщины, покрытый с обеих сторон функциональными группами. Несмотря на огромное количество работ, посвященных использованию оксида графена в качестве мембран, изучению их микроструктуры и химического состава уделяется недостаточно внимания. В связи с этим механизм массопереноса через мембраны остается слабоизученным. Одним из весьма перспективных направлений для исследования механизма массопереноса является использование полуэмпирических квантово-химических расчётов. Квантово-химические расчёты, подтвержденные экспериментальными данным о микроструктуре и проницаемости мембран, позволят детально изучить механизм массопереноса через мембрану оксида графена.</w:t>
      </w:r>
    </w:p>
    <w:p w14:paraId="2A191E65" w14:textId="2931730D" w:rsidR="0039782D" w:rsidRDefault="00772E62" w:rsidP="008B5D50">
      <w:pPr>
        <w:pStyle w:val="30"/>
        <w:spacing w:after="0"/>
        <w:ind w:firstLine="397"/>
        <w:jc w:val="both"/>
        <w:rPr>
          <w:szCs w:val="20"/>
        </w:rPr>
      </w:pPr>
      <w:r w:rsidRPr="00A2517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CABA6D" wp14:editId="17CDAC27">
            <wp:simplePos x="0" y="0"/>
            <wp:positionH relativeFrom="column">
              <wp:posOffset>2798033</wp:posOffset>
            </wp:positionH>
            <wp:positionV relativeFrom="paragraph">
              <wp:posOffset>2106295</wp:posOffset>
            </wp:positionV>
            <wp:extent cx="2118360" cy="1732915"/>
            <wp:effectExtent l="0" t="0" r="0" b="635"/>
            <wp:wrapTopAndBottom/>
            <wp:docPr id="4" name="Picture 4" descr="C:\Users\AlLesnykh\Downloads\Dubinin_Astahov_Equation_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esnykh\Downloads\Dubinin_Astahov_Equation_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17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ABC424" wp14:editId="48BD0DF8">
            <wp:simplePos x="0" y="0"/>
            <wp:positionH relativeFrom="column">
              <wp:posOffset>732650</wp:posOffset>
            </wp:positionH>
            <wp:positionV relativeFrom="paragraph">
              <wp:posOffset>2106930</wp:posOffset>
            </wp:positionV>
            <wp:extent cx="2014220" cy="1668145"/>
            <wp:effectExtent l="0" t="0" r="5080" b="8255"/>
            <wp:wrapTopAndBottom/>
            <wp:docPr id="1" name="Picture 1" descr="C:\Users\AlLesnykh\Downloads\Calculated_d-spacing_to_Water_Amou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esnykh\Downloads\Calculated_d-spacing_to_Water_Amount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82D" w:rsidRPr="00B23668">
        <w:rPr>
          <w:szCs w:val="20"/>
        </w:rPr>
        <w:t>С помощью полуэмпирических методов проведено моделирование структуры и транспортных характеристик оксида графена с различным содержанием адсорбир</w:t>
      </w:r>
      <w:r w:rsidR="00C92E4B">
        <w:rPr>
          <w:szCs w:val="20"/>
        </w:rPr>
        <w:t>ованной воды и водно-</w:t>
      </w:r>
      <w:proofErr w:type="spellStart"/>
      <w:r w:rsidR="00C92E4B">
        <w:rPr>
          <w:szCs w:val="20"/>
        </w:rPr>
        <w:t>этанольных</w:t>
      </w:r>
      <w:proofErr w:type="spellEnd"/>
      <w:r w:rsidR="0039782D" w:rsidRPr="00B23668">
        <w:rPr>
          <w:szCs w:val="20"/>
        </w:rPr>
        <w:t xml:space="preserve"> смесей. Установлено линейное увеличение равновесного межслоевого расстояния в ОГ с увеличением количества адсорбированной воды</w:t>
      </w:r>
      <w:r w:rsidR="0039782D">
        <w:rPr>
          <w:szCs w:val="20"/>
        </w:rPr>
        <w:t xml:space="preserve"> (Рисунок 1)</w:t>
      </w:r>
      <w:r w:rsidR="0039782D" w:rsidRPr="00B23668">
        <w:rPr>
          <w:szCs w:val="20"/>
        </w:rPr>
        <w:t xml:space="preserve">. Показано, что энергия адсорбции воды в межслоевое пространство оксида графена существенно изменяется с увеличением степени </w:t>
      </w:r>
      <w:proofErr w:type="spellStart"/>
      <w:r w:rsidR="0039782D" w:rsidRPr="00B23668">
        <w:rPr>
          <w:szCs w:val="20"/>
        </w:rPr>
        <w:t>окисленности</w:t>
      </w:r>
      <w:proofErr w:type="spellEnd"/>
      <w:r w:rsidR="0039782D" w:rsidRPr="00B23668">
        <w:rPr>
          <w:szCs w:val="20"/>
        </w:rPr>
        <w:t xml:space="preserve"> слоев. Избыточная теплота адсорбции относительно процесса объемной конденсации наблюдается при соотношении </w:t>
      </w:r>
      <w:r w:rsidR="0039782D" w:rsidRPr="00B23668">
        <w:rPr>
          <w:szCs w:val="20"/>
          <w:lang w:val="en-US"/>
        </w:rPr>
        <w:t>C</w:t>
      </w:r>
      <w:proofErr w:type="gramStart"/>
      <w:r w:rsidR="0039782D" w:rsidRPr="00B23668">
        <w:rPr>
          <w:szCs w:val="20"/>
        </w:rPr>
        <w:t>:</w:t>
      </w:r>
      <w:r w:rsidR="0039782D" w:rsidRPr="00B23668">
        <w:rPr>
          <w:szCs w:val="20"/>
          <w:lang w:val="en-US"/>
        </w:rPr>
        <w:t>O</w:t>
      </w:r>
      <w:r w:rsidR="0039782D" w:rsidRPr="00B23668">
        <w:rPr>
          <w:szCs w:val="20"/>
        </w:rPr>
        <w:t>&lt;</w:t>
      </w:r>
      <w:proofErr w:type="gramEnd"/>
      <w:r w:rsidR="0039782D" w:rsidRPr="00B23668">
        <w:rPr>
          <w:szCs w:val="20"/>
        </w:rPr>
        <w:t>2.5 и составляет до 10 ккал/моль. С помощью моделирования процесса транспорта различных частиц в межслоевом пространстве оксида графена</w:t>
      </w:r>
      <w:r w:rsidR="0039782D" w:rsidRPr="00B23668" w:rsidDel="00712E67">
        <w:rPr>
          <w:szCs w:val="20"/>
        </w:rPr>
        <w:t xml:space="preserve"> </w:t>
      </w:r>
      <w:r w:rsidR="0039782D" w:rsidRPr="00B23668">
        <w:rPr>
          <w:szCs w:val="20"/>
        </w:rPr>
        <w:t>обнаружена значительная разница в энергиях активации транспорта молекул воды (~0.37 эВ/Å), метанола (~0.4</w:t>
      </w:r>
      <w:r w:rsidR="0039782D">
        <w:rPr>
          <w:szCs w:val="20"/>
        </w:rPr>
        <w:t>8 эВ/Å) и протонов (~0.24 эВ/Å)</w:t>
      </w:r>
      <w:r w:rsidR="0039782D" w:rsidRPr="00B23668">
        <w:rPr>
          <w:szCs w:val="20"/>
        </w:rPr>
        <w:t>.</w:t>
      </w:r>
      <w:r w:rsidR="0039782D">
        <w:rPr>
          <w:szCs w:val="20"/>
        </w:rPr>
        <w:t xml:space="preserve"> Рассчитанные сорбционные кривые хорошо описываются в рамках уравнения адсорбции Дубина-Астахова (</w:t>
      </w:r>
      <w:r>
        <w:rPr>
          <w:szCs w:val="20"/>
        </w:rPr>
        <w:t>р</w:t>
      </w:r>
      <w:r w:rsidR="0039782D">
        <w:rPr>
          <w:szCs w:val="20"/>
        </w:rPr>
        <w:t>ис</w:t>
      </w:r>
      <w:r>
        <w:rPr>
          <w:szCs w:val="20"/>
        </w:rPr>
        <w:t>.</w:t>
      </w:r>
      <w:r w:rsidR="0039782D">
        <w:rPr>
          <w:szCs w:val="20"/>
        </w:rPr>
        <w:t xml:space="preserve"> 1).</w:t>
      </w:r>
    </w:p>
    <w:p w14:paraId="6601E718" w14:textId="46FDDE93" w:rsidR="00772E62" w:rsidRDefault="00772E62" w:rsidP="00772E62">
      <w:pPr>
        <w:pStyle w:val="30"/>
        <w:spacing w:after="0"/>
      </w:pPr>
      <w:r w:rsidRPr="00772E62">
        <w:t xml:space="preserve">Рис. 1. Зависимость межслоевого расстояния от количества сорбированной воды и кривые сорбции воды в оксид графена с разной степенью </w:t>
      </w:r>
      <w:proofErr w:type="spellStart"/>
      <w:r w:rsidRPr="00772E62">
        <w:t>окисленности</w:t>
      </w:r>
      <w:proofErr w:type="spellEnd"/>
      <w:r w:rsidRPr="00772E62">
        <w:t>.</w:t>
      </w:r>
    </w:p>
    <w:p w14:paraId="5AAB34E4" w14:textId="58906B41" w:rsidR="0039782D" w:rsidRDefault="0039782D" w:rsidP="008B5D50">
      <w:pPr>
        <w:pStyle w:val="50"/>
        <w:ind w:firstLine="397"/>
        <w:rPr>
          <w:i/>
        </w:rPr>
      </w:pPr>
      <w:r w:rsidRPr="00907E07">
        <w:rPr>
          <w:i/>
        </w:rPr>
        <w:t>Работа выполнена при поддержке гранта №23-13-00195.</w:t>
      </w:r>
    </w:p>
    <w:sectPr w:rsidR="003978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9188">
    <w:abstractNumId w:val="2"/>
  </w:num>
  <w:num w:numId="2" w16cid:durableId="172768587">
    <w:abstractNumId w:val="3"/>
  </w:num>
  <w:num w:numId="3" w16cid:durableId="1100250478">
    <w:abstractNumId w:val="1"/>
  </w:num>
  <w:num w:numId="4" w16cid:durableId="133198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C3016"/>
    <w:rsid w:val="0031361E"/>
    <w:rsid w:val="00391C38"/>
    <w:rsid w:val="0039782D"/>
    <w:rsid w:val="003B76D6"/>
    <w:rsid w:val="003E2601"/>
    <w:rsid w:val="003F4962"/>
    <w:rsid w:val="003F4E6B"/>
    <w:rsid w:val="004A26A3"/>
    <w:rsid w:val="004F0EDF"/>
    <w:rsid w:val="00522BF1"/>
    <w:rsid w:val="005264E7"/>
    <w:rsid w:val="00590166"/>
    <w:rsid w:val="005D022B"/>
    <w:rsid w:val="005E5BE9"/>
    <w:rsid w:val="0067313F"/>
    <w:rsid w:val="0069427D"/>
    <w:rsid w:val="006F7A19"/>
    <w:rsid w:val="007213E1"/>
    <w:rsid w:val="00772E62"/>
    <w:rsid w:val="00775389"/>
    <w:rsid w:val="00797838"/>
    <w:rsid w:val="007C36D8"/>
    <w:rsid w:val="007F2744"/>
    <w:rsid w:val="008931BE"/>
    <w:rsid w:val="008B5D50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92E4B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. Организация"/>
    <w:basedOn w:val="a"/>
    <w:link w:val="31"/>
    <w:qFormat/>
    <w:rsid w:val="0039782D"/>
    <w:pPr>
      <w:spacing w:after="240"/>
      <w:jc w:val="center"/>
    </w:pPr>
    <w:rPr>
      <w:rFonts w:eastAsia="Calibri"/>
      <w:lang w:eastAsia="en-US"/>
    </w:rPr>
  </w:style>
  <w:style w:type="character" w:customStyle="1" w:styleId="31">
    <w:name w:val="3. Организация Знак"/>
    <w:basedOn w:val="a0"/>
    <w:link w:val="30"/>
    <w:rsid w:val="0039782D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50">
    <w:name w:val="5. Основной текст тезисов"/>
    <w:basedOn w:val="a"/>
    <w:link w:val="51"/>
    <w:qFormat/>
    <w:rsid w:val="0039782D"/>
    <w:pPr>
      <w:ind w:firstLine="567"/>
      <w:jc w:val="both"/>
    </w:pPr>
    <w:rPr>
      <w:rFonts w:eastAsiaTheme="minorHAnsi"/>
      <w:lang w:eastAsia="en-US"/>
    </w:rPr>
  </w:style>
  <w:style w:type="character" w:customStyle="1" w:styleId="51">
    <w:name w:val="5. Основной текст тезисов Знак"/>
    <w:basedOn w:val="a0"/>
    <w:link w:val="50"/>
    <w:rsid w:val="0039782D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A29126-94B7-4EB2-98F1-E48620D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AlLesnykh</dc:creator>
  <cp:lastModifiedBy>Иван Chernoukhov</cp:lastModifiedBy>
  <cp:revision>2</cp:revision>
  <dcterms:created xsi:type="dcterms:W3CDTF">2025-03-22T23:26:00Z</dcterms:created>
  <dcterms:modified xsi:type="dcterms:W3CDTF">2025-03-22T23:26:00Z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