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CFD" w14:textId="77777777" w:rsidR="002B66D4" w:rsidRDefault="002B66D4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color w:val="000000"/>
        </w:rPr>
      </w:pPr>
      <w:r w:rsidRPr="002B66D4">
        <w:rPr>
          <w:b/>
          <w:color w:val="000000"/>
        </w:rPr>
        <w:t>Разработка метода анализа ионных потерь при деградации</w:t>
      </w:r>
      <w:r w:rsidRPr="002B66D4">
        <w:rPr>
          <w:b/>
          <w:color w:val="000000"/>
        </w:rPr>
        <w:br/>
      </w:r>
      <w:proofErr w:type="spellStart"/>
      <w:r w:rsidRPr="002B66D4">
        <w:rPr>
          <w:b/>
          <w:color w:val="000000"/>
        </w:rPr>
        <w:t>перовскитных</w:t>
      </w:r>
      <w:proofErr w:type="spellEnd"/>
      <w:r w:rsidRPr="002B66D4">
        <w:rPr>
          <w:b/>
          <w:color w:val="000000"/>
        </w:rPr>
        <w:t xml:space="preserve"> солнечных элементов с помощью </w:t>
      </w:r>
      <w:proofErr w:type="spellStart"/>
      <w:r w:rsidRPr="002B66D4">
        <w:rPr>
          <w:b/>
          <w:color w:val="000000"/>
        </w:rPr>
        <w:t>вольтамперометрии</w:t>
      </w:r>
      <w:proofErr w:type="spellEnd"/>
    </w:p>
    <w:p w14:paraId="72CFD0ED" w14:textId="77777777" w:rsidR="00DB007B" w:rsidRDefault="00263207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Черторижский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 xml:space="preserve">., </w:t>
      </w:r>
      <w:r w:rsidR="002B66D4">
        <w:rPr>
          <w:b/>
          <w:i/>
          <w:color w:val="000000"/>
        </w:rPr>
        <w:t>Марченко</w:t>
      </w:r>
      <w:r w:rsidR="00EB1F49">
        <w:rPr>
          <w:b/>
          <w:i/>
          <w:color w:val="000000"/>
        </w:rPr>
        <w:t xml:space="preserve"> </w:t>
      </w:r>
      <w:r w:rsidR="002B66D4"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2B66D4"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</w:p>
    <w:p w14:paraId="2A245EAE" w14:textId="77777777" w:rsidR="003D6626" w:rsidRDefault="00EB1F49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7C67D2">
        <w:rPr>
          <w:i/>
          <w:color w:val="000000"/>
        </w:rPr>
        <w:t>3</w:t>
      </w:r>
      <w:r>
        <w:rPr>
          <w:i/>
          <w:color w:val="000000"/>
        </w:rPr>
        <w:t xml:space="preserve"> курс</w:t>
      </w:r>
    </w:p>
    <w:p w14:paraId="5720CFE1" w14:textId="747863C7" w:rsidR="00C55294" w:rsidRPr="009353E0" w:rsidRDefault="00EB1F49" w:rsidP="003D6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0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  <w:r w:rsidR="001E53F0">
        <w:rPr>
          <w:i/>
          <w:color w:val="000000"/>
        </w:rPr>
        <w:br/>
      </w:r>
      <w:r w:rsidR="00263207">
        <w:rPr>
          <w:i/>
          <w:color w:val="000000"/>
        </w:rPr>
        <w:t>Ф</w:t>
      </w:r>
      <w:r>
        <w:rPr>
          <w:i/>
          <w:color w:val="000000"/>
        </w:rPr>
        <w:t>акультет</w:t>
      </w:r>
      <w:r w:rsidR="00263207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25E6364E" w14:textId="77777777" w:rsidR="003D6626" w:rsidRPr="001E53F0" w:rsidRDefault="003D6626" w:rsidP="003D6626">
      <w:pPr>
        <w:ind w:firstLine="0"/>
        <w:jc w:val="center"/>
        <w:rPr>
          <w:i/>
          <w:color w:val="000000"/>
          <w:u w:val="single"/>
        </w:rPr>
      </w:pPr>
      <w:r>
        <w:rPr>
          <w:i/>
          <w:color w:val="000000"/>
          <w:lang w:val="en-US"/>
        </w:rPr>
        <w:t>E</w:t>
      </w:r>
      <w:r w:rsidRPr="001E53F0"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1E53F0">
        <w:rPr>
          <w:i/>
          <w:color w:val="000000"/>
        </w:rPr>
        <w:t xml:space="preserve">: </w:t>
      </w:r>
      <w:proofErr w:type="spellStart"/>
      <w:r w:rsidRPr="003D6626">
        <w:rPr>
          <w:i/>
          <w:color w:val="000000"/>
          <w:u w:val="single"/>
          <w:lang w:val="en-US"/>
        </w:rPr>
        <w:t>chertorizhskiynikita</w:t>
      </w:r>
      <w:proofErr w:type="spellEnd"/>
      <w:r w:rsidRPr="001E53F0">
        <w:rPr>
          <w:i/>
          <w:color w:val="000000"/>
          <w:u w:val="single"/>
        </w:rPr>
        <w:t>@</w:t>
      </w:r>
      <w:r w:rsidRPr="003D6626">
        <w:rPr>
          <w:i/>
          <w:color w:val="000000"/>
          <w:u w:val="single"/>
          <w:lang w:val="en-US"/>
        </w:rPr>
        <w:t>mail</w:t>
      </w:r>
      <w:r w:rsidRPr="001E53F0">
        <w:rPr>
          <w:i/>
          <w:color w:val="000000"/>
          <w:u w:val="single"/>
        </w:rPr>
        <w:t>.</w:t>
      </w:r>
      <w:proofErr w:type="spellStart"/>
      <w:r w:rsidRPr="003D6626">
        <w:rPr>
          <w:i/>
          <w:color w:val="000000"/>
          <w:u w:val="single"/>
          <w:lang w:val="en-US"/>
        </w:rPr>
        <w:t>ru</w:t>
      </w:r>
      <w:proofErr w:type="spellEnd"/>
    </w:p>
    <w:p w14:paraId="20F0F5E4" w14:textId="7812F9A6" w:rsidR="003D6626" w:rsidRDefault="00B5653B" w:rsidP="001E53F0">
      <w:pPr>
        <w:ind w:firstLine="397"/>
        <w:jc w:val="both"/>
      </w:pPr>
      <w:r w:rsidRPr="00B5653B">
        <w:t xml:space="preserve">Недостаточная стабильность </w:t>
      </w:r>
      <w:proofErr w:type="spellStart"/>
      <w:r w:rsidRPr="00B5653B">
        <w:t>перовскитных</w:t>
      </w:r>
      <w:proofErr w:type="spellEnd"/>
      <w:r w:rsidRPr="00B5653B">
        <w:t xml:space="preserve"> солнечных элементов (ПСЭ) продолжает оставаться одной из ключевых проблем, ограничивающих их коммерческую реализацию. Среди множества факторов, влияющих на деградацию ПСЭ, одним из решающих на ранних этапах деградации устройства является наличие и концентрация собственных дефектов кристаллической структуры светопоглащающего слоя, представленного гибридным </w:t>
      </w:r>
      <w:proofErr w:type="gramStart"/>
      <w:r w:rsidRPr="00B5653B">
        <w:t>перовскитом</w:t>
      </w:r>
      <w:r w:rsidR="001E53F0" w:rsidRPr="001E53F0">
        <w:t>[</w:t>
      </w:r>
      <w:proofErr w:type="gramEnd"/>
      <w:r w:rsidR="001E53F0" w:rsidRPr="001E53F0">
        <w:t>1]</w:t>
      </w:r>
      <w:r w:rsidRPr="00B5653B">
        <w:t xml:space="preserve">. </w:t>
      </w:r>
      <w:r w:rsidR="0014151D">
        <w:t>Д</w:t>
      </w:r>
      <w:r w:rsidRPr="00B5653B">
        <w:t xml:space="preserve">ефекты способны экранировать внутренние электрические поля, усиливая рекомбинацию зарядов, что приводит к снижению коэффициента полезного действия (КПД) устройства, особенно на ранних стадиях эксплуатации. Изучение динамики подвижных ионов в </w:t>
      </w:r>
      <w:r w:rsidR="00082E53">
        <w:t xml:space="preserve">гибридных </w:t>
      </w:r>
      <w:r w:rsidRPr="00B5653B">
        <w:t xml:space="preserve">перовскитах позволяет понять природу этих процессов и разрабатывать методы их подавления. Одним из перспективных подходов к оценке ионных потерь является измерение </w:t>
      </w:r>
      <w:proofErr w:type="gramStart"/>
      <w:r w:rsidRPr="00B5653B">
        <w:t>вольт-амперных</w:t>
      </w:r>
      <w:proofErr w:type="gramEnd"/>
      <w:r w:rsidRPr="00B5653B">
        <w:t xml:space="preserve"> характеристик (ВАХ) устройств с оценкой величины гистерезиса. Использование математических моделей, основанных на данных </w:t>
      </w:r>
      <w:proofErr w:type="spellStart"/>
      <w:r w:rsidRPr="00B5653B">
        <w:t>вольтамперометрии</w:t>
      </w:r>
      <w:proofErr w:type="spellEnd"/>
      <w:r w:rsidRPr="00B5653B">
        <w:t xml:space="preserve"> открывает возможность количественной оценки концентрации собственных дефектов и подвижных ионов в ПСЭ и прогнозированию времени деградации устройства</w:t>
      </w:r>
      <w:r w:rsidR="00082E53">
        <w:t xml:space="preserve"> за счет ионных и не ионных потерь</w:t>
      </w:r>
      <w:r w:rsidRPr="00B5653B">
        <w:t>.</w:t>
      </w:r>
    </w:p>
    <w:p w14:paraId="5FF983FA" w14:textId="601CD60F" w:rsidR="00994948" w:rsidRPr="00CA7957" w:rsidRDefault="007C67D2" w:rsidP="003D6626">
      <w:pPr>
        <w:ind w:firstLine="397"/>
        <w:jc w:val="both"/>
      </w:pPr>
      <w:r>
        <w:t>В связи с этим, целью данной работы является разработка метода</w:t>
      </w:r>
      <w:r w:rsidR="00B5653B" w:rsidRPr="00B5653B">
        <w:t xml:space="preserve"> оценк</w:t>
      </w:r>
      <w:r>
        <w:t>и</w:t>
      </w:r>
      <w:r w:rsidR="00B5653B" w:rsidRPr="00B5653B">
        <w:t xml:space="preserve"> ионных потерь в </w:t>
      </w:r>
      <w:proofErr w:type="spellStart"/>
      <w:r w:rsidR="00B5653B" w:rsidRPr="00B5653B">
        <w:t>перовскитных</w:t>
      </w:r>
      <w:proofErr w:type="spellEnd"/>
      <w:r w:rsidR="00B5653B" w:rsidRPr="00B5653B">
        <w:t xml:space="preserve"> солнечных элементах при деградации устройств с помощью </w:t>
      </w:r>
      <w:proofErr w:type="spellStart"/>
      <w:r w:rsidR="00B5653B" w:rsidRPr="00B5653B">
        <w:t>вольтамперометрии</w:t>
      </w:r>
      <w:proofErr w:type="spellEnd"/>
      <w:r w:rsidR="00B5653B" w:rsidRPr="00B5653B">
        <w:t>.</w:t>
      </w:r>
      <w:r w:rsidR="0014151D">
        <w:t xml:space="preserve"> </w:t>
      </w:r>
      <w:r w:rsidR="00B5653B" w:rsidRPr="003D6626">
        <w:rPr>
          <w:color w:val="000000"/>
        </w:rPr>
        <w:t>В рамках исследования были изготовлены ПСЭ состава (</w:t>
      </w:r>
      <w:r w:rsidR="00CA7957" w:rsidRPr="003D6626">
        <w:rPr>
          <w:color w:val="000000"/>
        </w:rPr>
        <w:t>MA</w:t>
      </w:r>
      <w:r w:rsidR="00CA7957" w:rsidRPr="003D6626">
        <w:rPr>
          <w:color w:val="000000"/>
          <w:vertAlign w:val="subscript"/>
        </w:rPr>
        <w:t>0.019</w:t>
      </w:r>
      <w:r w:rsidR="00CA7957" w:rsidRPr="003D6626">
        <w:rPr>
          <w:color w:val="000000"/>
        </w:rPr>
        <w:t>, Cs</w:t>
      </w:r>
      <w:r w:rsidR="00CA7957" w:rsidRPr="003D6626">
        <w:rPr>
          <w:color w:val="000000"/>
          <w:vertAlign w:val="subscript"/>
        </w:rPr>
        <w:t>0.05,</w:t>
      </w:r>
      <w:r w:rsidR="00B5653B" w:rsidRPr="003D6626">
        <w:rPr>
          <w:color w:val="000000"/>
        </w:rPr>
        <w:t>FA</w:t>
      </w:r>
      <w:r w:rsidR="00B5653B" w:rsidRPr="003D6626">
        <w:rPr>
          <w:color w:val="000000"/>
          <w:vertAlign w:val="subscript"/>
        </w:rPr>
        <w:t>0.9</w:t>
      </w:r>
      <w:r w:rsidR="00CA7957" w:rsidRPr="003D6626">
        <w:rPr>
          <w:color w:val="000000"/>
          <w:vertAlign w:val="subscript"/>
        </w:rPr>
        <w:t>31</w:t>
      </w:r>
      <w:r w:rsidR="00CA7957" w:rsidRPr="003D6626">
        <w:rPr>
          <w:color w:val="000000"/>
        </w:rPr>
        <w:t>)</w:t>
      </w:r>
      <w:r w:rsidR="00B5653B" w:rsidRPr="003D6626">
        <w:rPr>
          <w:color w:val="000000"/>
        </w:rPr>
        <w:t>Pb(I</w:t>
      </w:r>
      <w:r w:rsidR="00B5653B" w:rsidRPr="003D6626">
        <w:rPr>
          <w:color w:val="000000"/>
          <w:vertAlign w:val="subscript"/>
        </w:rPr>
        <w:t>0.98</w:t>
      </w:r>
      <w:r w:rsidR="00CA7957" w:rsidRPr="003D6626">
        <w:rPr>
          <w:color w:val="000000"/>
          <w:vertAlign w:val="subscript"/>
        </w:rPr>
        <w:t>,</w:t>
      </w:r>
      <w:r w:rsidR="00B5653B" w:rsidRPr="003D6626">
        <w:rPr>
          <w:color w:val="000000"/>
        </w:rPr>
        <w:t>Br</w:t>
      </w:r>
      <w:r w:rsidR="00B5653B" w:rsidRPr="003D6626">
        <w:rPr>
          <w:color w:val="000000"/>
          <w:vertAlign w:val="subscript"/>
        </w:rPr>
        <w:t>0.02</w:t>
      </w:r>
      <w:r w:rsidR="00B5653B" w:rsidRPr="003D6626">
        <w:rPr>
          <w:color w:val="000000"/>
        </w:rPr>
        <w:t>)</w:t>
      </w:r>
      <w:r w:rsidR="00B5653B" w:rsidRPr="003D6626">
        <w:rPr>
          <w:color w:val="000000"/>
          <w:vertAlign w:val="subscript"/>
        </w:rPr>
        <w:t>3</w:t>
      </w:r>
      <w:r w:rsidR="00CA7957" w:rsidRPr="003D6626">
        <w:rPr>
          <w:color w:val="000000"/>
        </w:rPr>
        <w:t xml:space="preserve"> и </w:t>
      </w:r>
      <w:r w:rsidR="00CA7957" w:rsidRPr="003D6626">
        <w:rPr>
          <w:color w:val="000000"/>
          <w:shd w:val="clear" w:color="auto" w:fill="FFFFFF"/>
        </w:rPr>
        <w:t>(</w:t>
      </w:r>
      <w:r w:rsidR="00CA7957" w:rsidRPr="003D6626">
        <w:rPr>
          <w:color w:val="000000"/>
          <w:shd w:val="clear" w:color="auto" w:fill="FFFFFF"/>
          <w:lang w:val="en-US"/>
        </w:rPr>
        <w:t>MA</w:t>
      </w:r>
      <w:r w:rsidR="00CA7957" w:rsidRPr="003D6626">
        <w:rPr>
          <w:color w:val="000000"/>
          <w:shd w:val="clear" w:color="auto" w:fill="FFFFFF"/>
          <w:vertAlign w:val="subscript"/>
        </w:rPr>
        <w:t>0.0475</w:t>
      </w:r>
      <w:r w:rsidR="00CA7957" w:rsidRPr="003D6626">
        <w:rPr>
          <w:color w:val="000000"/>
          <w:shd w:val="clear" w:color="auto" w:fill="FFFFFF"/>
        </w:rPr>
        <w:t>,</w:t>
      </w:r>
      <w:r w:rsidR="00CA7957" w:rsidRPr="003D6626">
        <w:rPr>
          <w:color w:val="000000"/>
          <w:shd w:val="clear" w:color="auto" w:fill="FFFFFF"/>
          <w:lang w:val="en-US"/>
        </w:rPr>
        <w:t>Cs</w:t>
      </w:r>
      <w:r w:rsidR="00CA7957" w:rsidRPr="003D6626">
        <w:rPr>
          <w:color w:val="000000"/>
          <w:shd w:val="clear" w:color="auto" w:fill="FFFFFF"/>
          <w:vertAlign w:val="subscript"/>
        </w:rPr>
        <w:t>0.05</w:t>
      </w:r>
      <w:r w:rsidR="00CA7957" w:rsidRPr="003D6626">
        <w:rPr>
          <w:color w:val="000000"/>
          <w:shd w:val="clear" w:color="auto" w:fill="FFFFFF"/>
        </w:rPr>
        <w:t>,</w:t>
      </w:r>
      <w:r w:rsidR="00CA7957" w:rsidRPr="003D6626">
        <w:rPr>
          <w:color w:val="000000"/>
          <w:shd w:val="clear" w:color="auto" w:fill="FFFFFF"/>
          <w:lang w:val="en-US"/>
        </w:rPr>
        <w:t>FA</w:t>
      </w:r>
      <w:r w:rsidR="00CA7957" w:rsidRPr="003D6626">
        <w:rPr>
          <w:color w:val="000000"/>
          <w:shd w:val="clear" w:color="auto" w:fill="FFFFFF"/>
          <w:vertAlign w:val="subscript"/>
        </w:rPr>
        <w:t>0.9025</w:t>
      </w:r>
      <w:r w:rsidR="00CA7957" w:rsidRPr="003D6626">
        <w:rPr>
          <w:color w:val="000000"/>
          <w:shd w:val="clear" w:color="auto" w:fill="FFFFFF"/>
        </w:rPr>
        <w:t>)</w:t>
      </w:r>
      <w:r w:rsidR="00CA7957" w:rsidRPr="003D6626">
        <w:rPr>
          <w:color w:val="000000"/>
          <w:shd w:val="clear" w:color="auto" w:fill="FFFFFF"/>
          <w:lang w:val="en-US"/>
        </w:rPr>
        <w:t>Pb</w:t>
      </w:r>
      <w:r w:rsidR="00CA7957" w:rsidRPr="003D6626">
        <w:rPr>
          <w:color w:val="000000"/>
          <w:shd w:val="clear" w:color="auto" w:fill="FFFFFF"/>
        </w:rPr>
        <w:t>(</w:t>
      </w:r>
      <w:r w:rsidR="00CA7957" w:rsidRPr="003D6626">
        <w:rPr>
          <w:color w:val="000000"/>
          <w:shd w:val="clear" w:color="auto" w:fill="FFFFFF"/>
          <w:lang w:val="en-US"/>
        </w:rPr>
        <w:t>Br</w:t>
      </w:r>
      <w:r w:rsidR="00CA7957" w:rsidRPr="003D6626">
        <w:rPr>
          <w:color w:val="000000"/>
          <w:shd w:val="clear" w:color="auto" w:fill="FFFFFF"/>
          <w:vertAlign w:val="subscript"/>
        </w:rPr>
        <w:t>0.05</w:t>
      </w:r>
      <w:r w:rsidR="00CA7957" w:rsidRPr="003D6626">
        <w:rPr>
          <w:color w:val="000000"/>
          <w:shd w:val="clear" w:color="auto" w:fill="FFFFFF"/>
        </w:rPr>
        <w:t>,</w:t>
      </w:r>
      <w:r w:rsidR="00CA7957" w:rsidRPr="003D6626">
        <w:rPr>
          <w:color w:val="000000"/>
          <w:shd w:val="clear" w:color="auto" w:fill="FFFFFF"/>
          <w:lang w:val="en-US"/>
        </w:rPr>
        <w:t>I</w:t>
      </w:r>
      <w:r w:rsidR="00CA7957" w:rsidRPr="003D6626">
        <w:rPr>
          <w:color w:val="000000"/>
          <w:shd w:val="clear" w:color="auto" w:fill="FFFFFF"/>
          <w:vertAlign w:val="subscript"/>
        </w:rPr>
        <w:t>0.95</w:t>
      </w:r>
      <w:r w:rsidR="00CA7957" w:rsidRPr="003D6626">
        <w:rPr>
          <w:color w:val="000000"/>
          <w:shd w:val="clear" w:color="auto" w:fill="FFFFFF"/>
        </w:rPr>
        <w:t>)</w:t>
      </w:r>
      <w:r w:rsidR="00CA7957" w:rsidRPr="003D6626">
        <w:rPr>
          <w:color w:val="000000"/>
          <w:shd w:val="clear" w:color="auto" w:fill="FFFFFF"/>
          <w:vertAlign w:val="subscript"/>
        </w:rPr>
        <w:t>3</w:t>
      </w:r>
      <w:r w:rsidR="00B5653B" w:rsidRPr="003D6626">
        <w:rPr>
          <w:color w:val="000000"/>
        </w:rPr>
        <w:t xml:space="preserve"> </w:t>
      </w:r>
      <w:r w:rsidR="00CA7957" w:rsidRPr="003D6626">
        <w:rPr>
          <w:color w:val="000000"/>
        </w:rPr>
        <w:t xml:space="preserve">(где </w:t>
      </w:r>
      <w:r w:rsidR="00CA7957" w:rsidRPr="003D6626">
        <w:rPr>
          <w:color w:val="000000"/>
          <w:lang w:val="en-US"/>
        </w:rPr>
        <w:t>FA</w:t>
      </w:r>
      <w:r w:rsidR="00CA7957" w:rsidRPr="003D6626">
        <w:rPr>
          <w:color w:val="000000"/>
          <w:vertAlign w:val="superscript"/>
        </w:rPr>
        <w:t>+</w:t>
      </w:r>
      <w:r w:rsidR="00CA7957" w:rsidRPr="003D6626">
        <w:rPr>
          <w:color w:val="000000"/>
        </w:rPr>
        <w:t xml:space="preserve"> – </w:t>
      </w:r>
      <w:proofErr w:type="spellStart"/>
      <w:r w:rsidR="00CA7957" w:rsidRPr="003D6626">
        <w:rPr>
          <w:color w:val="000000"/>
        </w:rPr>
        <w:t>формамидиний</w:t>
      </w:r>
      <w:proofErr w:type="spellEnd"/>
      <w:r w:rsidR="00CA7957" w:rsidRPr="003D6626">
        <w:rPr>
          <w:color w:val="000000"/>
        </w:rPr>
        <w:t xml:space="preserve">, </w:t>
      </w:r>
      <w:r w:rsidR="00CA7957" w:rsidRPr="003D6626">
        <w:rPr>
          <w:color w:val="000000"/>
          <w:lang w:val="en-US"/>
        </w:rPr>
        <w:t>MA</w:t>
      </w:r>
      <w:r w:rsidR="00CA7957" w:rsidRPr="003D6626">
        <w:rPr>
          <w:color w:val="000000"/>
          <w:vertAlign w:val="superscript"/>
        </w:rPr>
        <w:t>+</w:t>
      </w:r>
      <w:r w:rsidR="00CA7957" w:rsidRPr="003D6626">
        <w:rPr>
          <w:color w:val="000000"/>
        </w:rPr>
        <w:t xml:space="preserve"> – </w:t>
      </w:r>
      <w:proofErr w:type="spellStart"/>
      <w:r w:rsidR="00CA7957" w:rsidRPr="003D6626">
        <w:rPr>
          <w:color w:val="000000"/>
        </w:rPr>
        <w:t>метиламмоний</w:t>
      </w:r>
      <w:proofErr w:type="spellEnd"/>
      <w:r w:rsidR="00CA7957" w:rsidRPr="003D6626">
        <w:rPr>
          <w:color w:val="000000"/>
        </w:rPr>
        <w:t xml:space="preserve">) </w:t>
      </w:r>
      <w:r w:rsidR="00B5653B" w:rsidRPr="003D6626">
        <w:rPr>
          <w:color w:val="000000"/>
        </w:rPr>
        <w:t>с использованием метода спин-</w:t>
      </w:r>
      <w:proofErr w:type="spellStart"/>
      <w:r w:rsidR="00B5653B" w:rsidRPr="003D6626">
        <w:rPr>
          <w:color w:val="000000"/>
        </w:rPr>
        <w:t>коатинга</w:t>
      </w:r>
      <w:proofErr w:type="spellEnd"/>
      <w:r w:rsidR="00CA7957" w:rsidRPr="003D6626">
        <w:rPr>
          <w:color w:val="000000"/>
        </w:rPr>
        <w:t xml:space="preserve"> и исследована их стабильность в условиях непрерывного облучения симулятором солнечного излучения</w:t>
      </w:r>
      <w:r w:rsidR="00B5653B" w:rsidRPr="003D6626">
        <w:rPr>
          <w:color w:val="000000"/>
        </w:rPr>
        <w:t xml:space="preserve">. Устройства были инкапсулированы для предотвращения деградации от внешних факторов. Для анализа использовались </w:t>
      </w:r>
      <w:r w:rsidR="00CA7957" w:rsidRPr="003D6626">
        <w:rPr>
          <w:color w:val="000000"/>
        </w:rPr>
        <w:t xml:space="preserve">периодические </w:t>
      </w:r>
      <w:r w:rsidR="00B5653B" w:rsidRPr="003D6626">
        <w:rPr>
          <w:color w:val="000000"/>
        </w:rPr>
        <w:t xml:space="preserve">измерения ВАХ с различными скоростями сканирования (от </w:t>
      </w:r>
      <w:r w:rsidRPr="003D6626">
        <w:rPr>
          <w:color w:val="000000"/>
        </w:rPr>
        <w:t>5</w:t>
      </w:r>
      <w:r w:rsidR="00B5653B" w:rsidRPr="003D6626">
        <w:rPr>
          <w:color w:val="000000"/>
        </w:rPr>
        <w:t xml:space="preserve">0 мВ/с до </w:t>
      </w:r>
      <w:r w:rsidR="00994948" w:rsidRPr="003D6626">
        <w:rPr>
          <w:color w:val="000000"/>
        </w:rPr>
        <w:t>2</w:t>
      </w:r>
      <w:r w:rsidR="00B5653B" w:rsidRPr="003D6626">
        <w:rPr>
          <w:color w:val="000000"/>
        </w:rPr>
        <w:t>000 В/с), что позволило оценить величину максимального гистерезиса устройств. В дополнение к этим измерениям проведены измерения аналогичных устройств, долговременно хранящихся в условиях разомкнутой цепи без доступа света.</w:t>
      </w:r>
      <w:r w:rsidR="0014151D">
        <w:rPr>
          <w:color w:val="000000"/>
        </w:rPr>
        <w:t xml:space="preserve"> </w:t>
      </w:r>
      <w:r w:rsidR="00B5653B" w:rsidRPr="00B5653B">
        <w:t xml:space="preserve">Результаты показали, что </w:t>
      </w:r>
      <w:r w:rsidR="002B66D4">
        <w:t>положение</w:t>
      </w:r>
      <w:r w:rsidR="00E702DA">
        <w:t xml:space="preserve"> и величина</w:t>
      </w:r>
      <w:r w:rsidR="002B66D4">
        <w:t xml:space="preserve"> максимального гистерезиса меня</w:t>
      </w:r>
      <w:r w:rsidR="00CA7957">
        <w:t>ю</w:t>
      </w:r>
      <w:r w:rsidR="002B66D4">
        <w:t>тся в</w:t>
      </w:r>
      <w:r w:rsidR="006F0D04">
        <w:t xml:space="preserve"> зависимости от времени облучения под симулятором солнечного света, что </w:t>
      </w:r>
      <w:r w:rsidR="00B5653B" w:rsidRPr="00B5653B">
        <w:t xml:space="preserve">подтверждает </w:t>
      </w:r>
      <w:r w:rsidR="00E702DA">
        <w:t>наличие и изменение</w:t>
      </w:r>
      <w:r w:rsidR="00B5653B" w:rsidRPr="00B5653B">
        <w:t xml:space="preserve"> ионного тока в устройствах</w:t>
      </w:r>
      <w:r w:rsidR="006F0D04">
        <w:t xml:space="preserve"> в зависимости от времени деградации</w:t>
      </w:r>
      <w:r w:rsidR="00B5653B" w:rsidRPr="00B5653B">
        <w:t>. Плотность подвижных ионов</w:t>
      </w:r>
      <w:r w:rsidR="00CA7957">
        <w:t xml:space="preserve"> в устройствах</w:t>
      </w:r>
      <w:r w:rsidR="00B5653B" w:rsidRPr="00B5653B">
        <w:t xml:space="preserve"> была оценена в диапазоне 10</w:t>
      </w:r>
      <w:r w:rsidR="00B5653B" w:rsidRPr="00994948">
        <w:rPr>
          <w:vertAlign w:val="superscript"/>
        </w:rPr>
        <w:t>15</w:t>
      </w:r>
      <w:r w:rsidR="00B5653B" w:rsidRPr="00B5653B">
        <w:t xml:space="preserve"> – 10</w:t>
      </w:r>
      <w:r w:rsidR="00B5653B" w:rsidRPr="00994948">
        <w:rPr>
          <w:vertAlign w:val="superscript"/>
        </w:rPr>
        <w:t>17</w:t>
      </w:r>
      <w:r w:rsidR="00B5653B" w:rsidRPr="00B5653B">
        <w:t xml:space="preserve"> см</w:t>
      </w:r>
      <w:r w:rsidR="00B5653B" w:rsidRPr="00994948">
        <w:rPr>
          <w:vertAlign w:val="superscript"/>
        </w:rPr>
        <w:t>-3</w:t>
      </w:r>
      <w:r w:rsidR="00B5653B" w:rsidRPr="00B5653B">
        <w:t xml:space="preserve"> с применением программы </w:t>
      </w:r>
      <w:proofErr w:type="spellStart"/>
      <w:r w:rsidR="00B5653B" w:rsidRPr="00B5653B">
        <w:t>IonMonger</w:t>
      </w:r>
      <w:proofErr w:type="spellEnd"/>
      <w:r w:rsidR="00B5653B" w:rsidRPr="00B5653B">
        <w:t xml:space="preserve">. </w:t>
      </w:r>
      <w:r w:rsidR="00CA7957">
        <w:t>Время потери устройствами 20% КПД (</w:t>
      </w:r>
      <w:r w:rsidR="00CA7957" w:rsidRPr="00E70815">
        <w:rPr>
          <w:i/>
          <w:iCs/>
          <w:lang w:val="en-US"/>
        </w:rPr>
        <w:t>T</w:t>
      </w:r>
      <w:r w:rsidR="00CA7957" w:rsidRPr="00E70815">
        <w:rPr>
          <w:i/>
          <w:iCs/>
          <w:vertAlign w:val="subscript"/>
        </w:rPr>
        <w:t>80</w:t>
      </w:r>
      <w:r w:rsidR="00CA7957" w:rsidRPr="00E70815">
        <w:t xml:space="preserve">) </w:t>
      </w:r>
      <w:r w:rsidR="00CA7957">
        <w:t xml:space="preserve">в условиях темнового хранения и непрерывного облучения симулятором солнечного излучения отличается в ~ 20 раз и связано с уменьшением тока короткого замыкания, т.е. наличием ионных потерь в устройстве, к которым далее добавляются не ионные потери, преимущественно из-за деградации металлического </w:t>
      </w:r>
      <w:proofErr w:type="spellStart"/>
      <w:r w:rsidR="00CA7957">
        <w:t>электрода.</w:t>
      </w:r>
      <w:proofErr w:type="spellEnd"/>
    </w:p>
    <w:p w14:paraId="695C34FA" w14:textId="6A595E8F" w:rsidR="0089469F" w:rsidRDefault="007C67D2" w:rsidP="003D6626">
      <w:pPr>
        <w:ind w:firstLine="397"/>
        <w:jc w:val="both"/>
        <w:rPr>
          <w:strike/>
        </w:rPr>
      </w:pPr>
      <w:proofErr w:type="spellStart"/>
      <w:r>
        <w:t>Таким</w:t>
      </w:r>
      <w:proofErr w:type="spellEnd"/>
      <w:r>
        <w:t xml:space="preserve"> образом в данной работе показано,</w:t>
      </w:r>
      <w:r w:rsidR="00B5653B" w:rsidRPr="00B5653B">
        <w:t xml:space="preserve"> что с использованием разработанного метода можно успешно оценивать ионные потери в устройствах ПСЭ при деградации</w:t>
      </w:r>
      <w:r w:rsidR="00CE4328">
        <w:t xml:space="preserve"> и прогнозировать время </w:t>
      </w:r>
      <w:r w:rsidR="00CE4328">
        <w:rPr>
          <w:lang w:val="en-US"/>
        </w:rPr>
        <w:t>T</w:t>
      </w:r>
      <w:r w:rsidR="00CE4328" w:rsidRPr="00E70815">
        <w:rPr>
          <w:vertAlign w:val="subscript"/>
        </w:rPr>
        <w:t>80</w:t>
      </w:r>
      <w:r w:rsidR="00CE4328" w:rsidRPr="00E70815">
        <w:t xml:space="preserve"> </w:t>
      </w:r>
      <w:r w:rsidR="00CE4328">
        <w:t>в условиях темнового хранения устройств в разомкнутой цепи на основании данных об ускоренных тестах на стабильность для аналогичных устройств в условиях непрерывного облучения симулятором солнечного излучения.</w:t>
      </w:r>
    </w:p>
    <w:p w14:paraId="602CFCBD" w14:textId="15740B9A" w:rsidR="00082E53" w:rsidRDefault="00082E53" w:rsidP="003D6626">
      <w:pPr>
        <w:ind w:firstLine="397"/>
        <w:jc w:val="both"/>
        <w:rPr>
          <w:i/>
        </w:rPr>
      </w:pPr>
      <w:r w:rsidRPr="003D6626">
        <w:rPr>
          <w:i/>
        </w:rPr>
        <w:t>Исследования выполнены за счёт гранта РНФ № 24-73-00308.</w:t>
      </w:r>
    </w:p>
    <w:p w14:paraId="79D46C84" w14:textId="248D6573" w:rsidR="001E53F0" w:rsidRPr="00DB007B" w:rsidRDefault="001E53F0" w:rsidP="00DB007B">
      <w:pPr>
        <w:ind w:firstLine="0"/>
        <w:jc w:val="center"/>
        <w:rPr>
          <w:b/>
          <w:lang w:val="en-US"/>
        </w:rPr>
      </w:pPr>
      <w:r w:rsidRPr="00DB007B">
        <w:rPr>
          <w:b/>
        </w:rPr>
        <w:t>Литература</w:t>
      </w:r>
    </w:p>
    <w:p w14:paraId="4739167F" w14:textId="3B76CD62" w:rsidR="00DB007B" w:rsidRPr="0014151D" w:rsidRDefault="001E53F0" w:rsidP="00DB007B">
      <w:pPr>
        <w:ind w:firstLine="0"/>
        <w:jc w:val="both"/>
        <w:rPr>
          <w:iCs/>
        </w:rPr>
      </w:pPr>
      <w:r w:rsidRPr="0014151D">
        <w:rPr>
          <w:iCs/>
          <w:lang w:val="en-US"/>
        </w:rPr>
        <w:t xml:space="preserve">1. </w:t>
      </w:r>
      <w:proofErr w:type="spellStart"/>
      <w:r w:rsidRPr="0014151D">
        <w:rPr>
          <w:iCs/>
          <w:lang w:val="en-US"/>
        </w:rPr>
        <w:t>Thiesbrummel</w:t>
      </w:r>
      <w:proofErr w:type="spellEnd"/>
      <w:r w:rsidRPr="0014151D">
        <w:rPr>
          <w:iCs/>
          <w:lang w:val="en-US"/>
        </w:rPr>
        <w:t xml:space="preserve"> J. et al. Ion-induced field screening as a dominant factor in perovskite solar cell operational stability //Nature Energy. – 2024. – </w:t>
      </w:r>
      <w:r w:rsidRPr="0014151D">
        <w:rPr>
          <w:iCs/>
        </w:rPr>
        <w:t>Т</w:t>
      </w:r>
      <w:r w:rsidRPr="0014151D">
        <w:rPr>
          <w:iCs/>
          <w:lang w:val="en-US"/>
        </w:rPr>
        <w:t xml:space="preserve">. 9. – №. </w:t>
      </w:r>
      <w:r w:rsidRPr="0014151D">
        <w:rPr>
          <w:iCs/>
        </w:rPr>
        <w:t>6. – С. 664-676.</w:t>
      </w:r>
    </w:p>
    <w:sectPr w:rsidR="00DB007B" w:rsidRPr="0014151D" w:rsidSect="003D6626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230086">
    <w:abstractNumId w:val="0"/>
  </w:num>
  <w:num w:numId="2" w16cid:durableId="118273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3D19"/>
    <w:rsid w:val="00082E53"/>
    <w:rsid w:val="00086081"/>
    <w:rsid w:val="000A7BA3"/>
    <w:rsid w:val="000E47D1"/>
    <w:rsid w:val="00101A1C"/>
    <w:rsid w:val="00106375"/>
    <w:rsid w:val="00114A1B"/>
    <w:rsid w:val="00116478"/>
    <w:rsid w:val="00130241"/>
    <w:rsid w:val="0013271D"/>
    <w:rsid w:val="0014151D"/>
    <w:rsid w:val="001E53F0"/>
    <w:rsid w:val="001E61C2"/>
    <w:rsid w:val="001F0493"/>
    <w:rsid w:val="002264EE"/>
    <w:rsid w:val="0023307C"/>
    <w:rsid w:val="00263207"/>
    <w:rsid w:val="002B66D4"/>
    <w:rsid w:val="002B6A2E"/>
    <w:rsid w:val="00311E3F"/>
    <w:rsid w:val="0031361E"/>
    <w:rsid w:val="00344044"/>
    <w:rsid w:val="00387E9B"/>
    <w:rsid w:val="0039137E"/>
    <w:rsid w:val="00391C38"/>
    <w:rsid w:val="00397975"/>
    <w:rsid w:val="003A7A03"/>
    <w:rsid w:val="003B76D6"/>
    <w:rsid w:val="003D6626"/>
    <w:rsid w:val="004A26A3"/>
    <w:rsid w:val="004F0EDF"/>
    <w:rsid w:val="00515E39"/>
    <w:rsid w:val="00522BF1"/>
    <w:rsid w:val="00590166"/>
    <w:rsid w:val="006A4FD0"/>
    <w:rsid w:val="006F0D04"/>
    <w:rsid w:val="006F7A19"/>
    <w:rsid w:val="00701D79"/>
    <w:rsid w:val="00743C24"/>
    <w:rsid w:val="007657CD"/>
    <w:rsid w:val="007722A7"/>
    <w:rsid w:val="00775389"/>
    <w:rsid w:val="00797838"/>
    <w:rsid w:val="007C36D8"/>
    <w:rsid w:val="007C67D2"/>
    <w:rsid w:val="007F2744"/>
    <w:rsid w:val="00891976"/>
    <w:rsid w:val="008931BE"/>
    <w:rsid w:val="0089469F"/>
    <w:rsid w:val="008F7183"/>
    <w:rsid w:val="00900593"/>
    <w:rsid w:val="00921D45"/>
    <w:rsid w:val="009353E0"/>
    <w:rsid w:val="009606E4"/>
    <w:rsid w:val="009869D8"/>
    <w:rsid w:val="00994948"/>
    <w:rsid w:val="009A66DB"/>
    <w:rsid w:val="009B2F80"/>
    <w:rsid w:val="009B3300"/>
    <w:rsid w:val="009F3380"/>
    <w:rsid w:val="00A02163"/>
    <w:rsid w:val="00A314FE"/>
    <w:rsid w:val="00A3217C"/>
    <w:rsid w:val="00B5653B"/>
    <w:rsid w:val="00B93D5D"/>
    <w:rsid w:val="00BF36F8"/>
    <w:rsid w:val="00BF4622"/>
    <w:rsid w:val="00C55294"/>
    <w:rsid w:val="00CA7957"/>
    <w:rsid w:val="00CD00B1"/>
    <w:rsid w:val="00CE4328"/>
    <w:rsid w:val="00D22306"/>
    <w:rsid w:val="00D42542"/>
    <w:rsid w:val="00D8121C"/>
    <w:rsid w:val="00DA1D42"/>
    <w:rsid w:val="00DB007B"/>
    <w:rsid w:val="00DD0BC5"/>
    <w:rsid w:val="00E22189"/>
    <w:rsid w:val="00E702DA"/>
    <w:rsid w:val="00E70815"/>
    <w:rsid w:val="00E70D11"/>
    <w:rsid w:val="00E74069"/>
    <w:rsid w:val="00EB1F49"/>
    <w:rsid w:val="00EB370E"/>
    <w:rsid w:val="00F128DF"/>
    <w:rsid w:val="00F34EE8"/>
    <w:rsid w:val="00F367A8"/>
    <w:rsid w:val="00F865B3"/>
    <w:rsid w:val="00F94048"/>
    <w:rsid w:val="00FB1509"/>
    <w:rsid w:val="00FD56A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53B"/>
    <w:pPr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EB370E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EB370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B370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B370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370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B370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F6D1EA-783E-4C19-8404-9DB887DC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 Ник</dc:creator>
  <cp:lastModifiedBy>Иван Chernoukhov</cp:lastModifiedBy>
  <cp:revision>2</cp:revision>
  <dcterms:created xsi:type="dcterms:W3CDTF">2025-03-21T22:58:00Z</dcterms:created>
  <dcterms:modified xsi:type="dcterms:W3CDTF">2025-03-21T22:58:00Z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85cec7cd-7202-3623-8b83-682985c9ef4d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http://www.zotero.org/styles/elsevier-vancouver</vt:lpwstr>
  </property>
  <property fmtid="{D5CDD505-2E9C-101B-9397-08002B2CF9AE}" pid="12" name="Mendeley Recent Style Name 3_1">
    <vt:lpwstr>Elsevier - Vancouver</vt:lpwstr>
  </property>
  <property fmtid="{D5CDD505-2E9C-101B-9397-08002B2CF9AE}" pid="13" name="Mendeley Recent Style Id 4_1">
    <vt:lpwstr>http://www.zotero.org/styles/elsevier-vancouver-no-et-al</vt:lpwstr>
  </property>
  <property fmtid="{D5CDD505-2E9C-101B-9397-08002B2CF9AE}" pid="14" name="Mendeley Recent Style Name 4_1">
    <vt:lpwstr>Elsevier - Vancouver (no "et al.")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http://www.zotero.org/styles/nanoscale</vt:lpwstr>
  </property>
  <property fmtid="{D5CDD505-2E9C-101B-9397-08002B2CF9AE}" pid="18" name="Mendeley Recent Style Name 6_1">
    <vt:lpwstr>Nanoscale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http://csl.mendeley.com/styles/478462871/gost-r-7-0-5-2008-numeric</vt:lpwstr>
  </property>
  <property fmtid="{D5CDD505-2E9C-101B-9397-08002B2CF9AE}" pid="22" name="Mendeley Recent Style Name 8_1">
    <vt:lpwstr>Russian GOST R 7.0.5-2008 (numeric) - Lab552 PV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