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821F" w14:textId="4C8D203E" w:rsidR="0001217D" w:rsidRPr="0045454E" w:rsidRDefault="008D0EB0" w:rsidP="008D0E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кинетики летучих органических соединений урожая картофеля </w:t>
      </w:r>
      <w:r w:rsidR="00884D31">
        <w:rPr>
          <w:rFonts w:ascii="Times New Roman" w:hAnsi="Times New Roman" w:cs="Times New Roman"/>
          <w:b/>
          <w:bCs/>
          <w:sz w:val="24"/>
          <w:szCs w:val="24"/>
        </w:rPr>
        <w:t>сортов Гала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Фиолетовый, полученного из облученного электронными пучками и </w:t>
      </w:r>
      <w:r w:rsidRPr="0045454E">
        <w:rPr>
          <w:rFonts w:ascii="Times New Roman" w:hAnsi="Times New Roman" w:cs="Times New Roman"/>
          <w:b/>
          <w:bCs/>
          <w:sz w:val="24"/>
          <w:szCs w:val="24"/>
        </w:rPr>
        <w:t xml:space="preserve">рентгеновским излучением семенного материала </w:t>
      </w:r>
    </w:p>
    <w:p w14:paraId="3361A196" w14:textId="77777777" w:rsidR="0045454E" w:rsidRPr="00884D31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Межетова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И.Т.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Ипатова В.С.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Близнюк У.А.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Борщеговская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П.Ю.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Болотник Т.А.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Зубрицкая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Я.В.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Козлова Е.К.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1,4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Малюга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5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Никитченко А.Д.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Опруненко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А.Ю.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Родин И.А.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3,4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Чуликова</w:t>
      </w:r>
      <w:proofErr w:type="spellEnd"/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Н.С.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5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Черняев А.П.</w:t>
      </w:r>
      <w:r w:rsidRPr="00884D3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4380BF59" w14:textId="77777777" w:rsidR="0045454E" w:rsidRPr="00884D31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D3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884D31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 физический факультет, г. Москва, Российская Федерация.</w:t>
      </w:r>
    </w:p>
    <w:p w14:paraId="3D399A97" w14:textId="77777777" w:rsidR="0045454E" w:rsidRPr="00884D31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D3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884D31">
        <w:rPr>
          <w:rFonts w:ascii="Times New Roman" w:hAnsi="Times New Roman" w:cs="Times New Roman"/>
          <w:i/>
          <w:iCs/>
          <w:sz w:val="24"/>
          <w:szCs w:val="24"/>
        </w:rPr>
        <w:t xml:space="preserve"> Научно-исследовательский институт ядерной физики им. Д.В. </w:t>
      </w:r>
      <w:proofErr w:type="spellStart"/>
      <w:r w:rsidRPr="00884D31">
        <w:rPr>
          <w:rFonts w:ascii="Times New Roman" w:hAnsi="Times New Roman" w:cs="Times New Roman"/>
          <w:i/>
          <w:iCs/>
          <w:sz w:val="24"/>
          <w:szCs w:val="24"/>
        </w:rPr>
        <w:t>Скобельцына</w:t>
      </w:r>
      <w:proofErr w:type="spellEnd"/>
      <w:r w:rsidRPr="00884D31">
        <w:rPr>
          <w:rFonts w:ascii="Times New Roman" w:hAnsi="Times New Roman" w:cs="Times New Roman"/>
          <w:i/>
          <w:iCs/>
          <w:sz w:val="24"/>
          <w:szCs w:val="24"/>
        </w:rPr>
        <w:t>, г. Москва, Российская Федерация.</w:t>
      </w:r>
    </w:p>
    <w:p w14:paraId="65EC63DA" w14:textId="77777777" w:rsidR="0045454E" w:rsidRPr="00884D31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D3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884D31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 химический факультет, г. Москва, Российская Федерация.</w:t>
      </w:r>
    </w:p>
    <w:p w14:paraId="38BF8999" w14:textId="77777777" w:rsidR="0045454E" w:rsidRPr="00884D31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D3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884D31">
        <w:rPr>
          <w:rFonts w:ascii="Times New Roman" w:hAnsi="Times New Roman" w:cs="Times New Roman"/>
          <w:i/>
          <w:iCs/>
          <w:sz w:val="24"/>
          <w:szCs w:val="24"/>
        </w:rPr>
        <w:t xml:space="preserve"> ФГАОУ ВО Первый МГМУ имени И.М. Сеченова Минздрава России (Сеченовский Университет), г. Москва, Российская Федерация.</w:t>
      </w:r>
    </w:p>
    <w:p w14:paraId="270E7F89" w14:textId="60061546" w:rsidR="0045454E" w:rsidRDefault="0045454E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D3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5 </w:t>
      </w:r>
      <w:r w:rsidRPr="00884D31">
        <w:rPr>
          <w:rFonts w:ascii="Times New Roman" w:hAnsi="Times New Roman" w:cs="Times New Roman"/>
          <w:i/>
          <w:sz w:val="24"/>
          <w:szCs w:val="24"/>
        </w:rPr>
        <w:t xml:space="preserve">Сибирский федеральный научный центр </w:t>
      </w:r>
      <w:proofErr w:type="spellStart"/>
      <w:r w:rsidRPr="00884D31">
        <w:rPr>
          <w:rFonts w:ascii="Times New Roman" w:hAnsi="Times New Roman" w:cs="Times New Roman"/>
          <w:i/>
          <w:sz w:val="24"/>
          <w:szCs w:val="24"/>
        </w:rPr>
        <w:t>агробиотехнологий</w:t>
      </w:r>
      <w:proofErr w:type="spellEnd"/>
      <w:r w:rsidRPr="00884D31">
        <w:rPr>
          <w:rFonts w:ascii="Times New Roman" w:hAnsi="Times New Roman" w:cs="Times New Roman"/>
          <w:i/>
          <w:sz w:val="24"/>
          <w:szCs w:val="24"/>
        </w:rPr>
        <w:t xml:space="preserve"> РАН, Новосибирская область, </w:t>
      </w:r>
      <w:proofErr w:type="spellStart"/>
      <w:r w:rsidRPr="00884D31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Pr="00884D3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84D31">
        <w:rPr>
          <w:rFonts w:ascii="Times New Roman" w:hAnsi="Times New Roman" w:cs="Times New Roman"/>
          <w:i/>
          <w:sz w:val="24"/>
          <w:szCs w:val="24"/>
        </w:rPr>
        <w:t>Краснообск</w:t>
      </w:r>
      <w:proofErr w:type="spellEnd"/>
      <w:r w:rsidRPr="00884D31">
        <w:rPr>
          <w:rFonts w:ascii="Times New Roman" w:hAnsi="Times New Roman" w:cs="Times New Roman"/>
          <w:i/>
          <w:iCs/>
          <w:sz w:val="24"/>
          <w:szCs w:val="24"/>
        </w:rPr>
        <w:t>, Российская Федерация.</w:t>
      </w:r>
    </w:p>
    <w:p w14:paraId="646B1A36" w14:textId="77777777" w:rsidR="00AE61E0" w:rsidRPr="00884D31" w:rsidRDefault="00AE61E0" w:rsidP="004545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3F7326" w14:textId="77777777" w:rsidR="0045454E" w:rsidRPr="00884D31" w:rsidRDefault="0045454E" w:rsidP="0045454E">
      <w:pPr>
        <w:widowControl w:val="0"/>
        <w:autoSpaceDE w:val="0"/>
        <w:autoSpaceDN w:val="0"/>
        <w:adjustRightInd w:val="0"/>
        <w:spacing w:after="12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4D31">
        <w:rPr>
          <w:rFonts w:ascii="Times New Roman" w:hAnsi="Times New Roman" w:cs="Times New Roman"/>
          <w:sz w:val="24"/>
          <w:szCs w:val="24"/>
          <w:lang w:val="en-US"/>
        </w:rPr>
        <w:t xml:space="preserve">E–mail: </w:t>
      </w:r>
      <w:hyperlink r:id="rId4" w:history="1">
        <w:r w:rsidRPr="00884D3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mezhetova.it19@physics.msu.ru</w:t>
        </w:r>
      </w:hyperlink>
    </w:p>
    <w:p w14:paraId="6B26C8BB" w14:textId="256444EE" w:rsidR="0045454E" w:rsidRPr="00EF6BD2" w:rsidRDefault="004848AB" w:rsidP="004848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Радиационная обработка продуктов питания является </w:t>
      </w:r>
      <w:r w:rsidR="00D0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перспективным методом обработки продуктов питания</w:t>
      </w:r>
      <w:r w:rsidR="00A5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помогает решить широкий спектр задач, таких как, </w:t>
      </w:r>
      <w:r w:rsidR="00A54888" w:rsidRPr="00A5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увеличение сроков хранения продукции, эффективное подавление активности патогенной микрофлоры; стимулирование прорастания сельскохозяйственных культур и </w:t>
      </w:r>
      <w:proofErr w:type="spellStart"/>
      <w:r w:rsidR="00A54888" w:rsidRPr="00A54888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="00A54888" w:rsidRPr="00A5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[1,2]</w:t>
      </w:r>
      <w:r w:rsidR="00A548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6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A5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эффективного использования данной технологии необходимо проведение </w:t>
      </w:r>
      <w:r w:rsidR="00AE61E0">
        <w:rPr>
          <w:rFonts w:ascii="Times New Roman" w:hAnsi="Times New Roman" w:cs="Times New Roman"/>
          <w:color w:val="000000" w:themeColor="text1"/>
          <w:sz w:val="24"/>
          <w:szCs w:val="24"/>
        </w:rPr>
        <w:t>большого числа исследований, направленных на поиск оптимальной дозы облучения для конкретных продуктов. Данная необходимость связана с различным соотношением белков, жиров, углеводов и липидов в разных продуктах питания.</w:t>
      </w:r>
      <w:r w:rsidR="00EF6BD2" w:rsidRPr="00EF6BD2">
        <w:rPr>
          <w:rFonts w:ascii="Times New Roman" w:hAnsi="Times New Roman" w:cs="Times New Roman"/>
          <w:color w:val="000000" w:themeColor="text1"/>
        </w:rPr>
        <w:t xml:space="preserve"> </w:t>
      </w:r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Семенной картофель является сложным объектом для исследования влияния на него радиационной обработки, поскольку с одной стороны, необходимо подавить </w:t>
      </w:r>
      <w:proofErr w:type="spellStart"/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>фитопатогены</w:t>
      </w:r>
      <w:proofErr w:type="spellEnd"/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поверхности клубней с целью улучшения качества посевного материала, а с другой стороны, не снизить урожайность культур [3,4]</w:t>
      </w:r>
      <w:r w:rsidR="00AE61E0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Однако при работе с семенным материалом, таким как картофель, </w:t>
      </w:r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недостаточно</w:t>
      </w:r>
      <w:r w:rsidR="00AE61E0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оценить</w:t>
      </w:r>
      <w:r w:rsid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ранее перечисленные </w:t>
      </w:r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</w:t>
      </w:r>
      <w:r w:rsidR="00AE61E0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облученных образцов</w:t>
      </w:r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61E0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</w:t>
      </w:r>
      <w:r w:rsidR="00EF6BD2" w:rsidRPr="00EF6BD2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 полученный урожай</w:t>
      </w:r>
      <w:r w:rsidR="00EF6BD2">
        <w:rPr>
          <w:rFonts w:ascii="Times New Roman" w:hAnsi="Times New Roman" w:cs="Times New Roman"/>
          <w:color w:val="000000" w:themeColor="text1"/>
          <w:sz w:val="24"/>
          <w:szCs w:val="24"/>
        </w:rPr>
        <w:t>, так как полученные из анализа данные могут значительно повлиять на выбор диапазона доз</w:t>
      </w:r>
      <w:r w:rsidR="00672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данного сорта картофеля.</w:t>
      </w:r>
    </w:p>
    <w:p w14:paraId="21F3E5FB" w14:textId="782B59B9" w:rsidR="0045454E" w:rsidRDefault="00884D31" w:rsidP="008A4C96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исследование изменения концентраций летучих органических соединений в клубнях картофеля </w:t>
      </w:r>
      <w:r w:rsidR="00EF6BD2">
        <w:rPr>
          <w:rFonts w:ascii="Times New Roman" w:hAnsi="Times New Roman" w:cs="Times New Roman"/>
          <w:sz w:val="24"/>
          <w:szCs w:val="24"/>
        </w:rPr>
        <w:t>сортов Гала</w:t>
      </w:r>
      <w:r w:rsidR="008A4C96">
        <w:rPr>
          <w:rFonts w:ascii="Times New Roman" w:hAnsi="Times New Roman" w:cs="Times New Roman"/>
          <w:sz w:val="24"/>
          <w:szCs w:val="24"/>
        </w:rPr>
        <w:t xml:space="preserve"> и Фиолетовый, выращенный из семенного материала, облученного </w:t>
      </w:r>
      <w:r w:rsidR="008A4C96" w:rsidRPr="008A4C96">
        <w:rPr>
          <w:rFonts w:ascii="Times New Roman" w:hAnsi="Times New Roman" w:cs="Times New Roman"/>
          <w:sz w:val="24"/>
          <w:szCs w:val="24"/>
        </w:rPr>
        <w:t>низкоэнергетическими пучками ускоренных электронов и рентгеновским излучение</w:t>
      </w:r>
      <w:r w:rsidR="004848AB">
        <w:rPr>
          <w:rFonts w:ascii="Times New Roman" w:hAnsi="Times New Roman" w:cs="Times New Roman"/>
          <w:sz w:val="24"/>
          <w:szCs w:val="24"/>
        </w:rPr>
        <w:t xml:space="preserve">м для дальнейшей оценки качества урожая. </w:t>
      </w:r>
    </w:p>
    <w:p w14:paraId="01B84E9F" w14:textId="0B0F33AA" w:rsidR="008A4C96" w:rsidRPr="008A4C96" w:rsidRDefault="008A4C96" w:rsidP="008A4C9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Клубни картофеля сорта Гала и Фиолетовый облучали на рентгеновском аппарате РАП-100 с рентгеновской трубкой 1БПВ23-100 с молибденовым анодом, максимальная энергия тормозных фотонов – 80 кэВ (ФМБЦ им. </w:t>
      </w:r>
      <w:proofErr w:type="spellStart"/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>Бурназяна</w:t>
      </w:r>
      <w:proofErr w:type="spellEnd"/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>, Россия). Радиационной обработка пучками ускоренных электронов проводилась на ускорителе электронов УЭЛР-1-25-Т-001 (НИИЯФ МГУ, Россия) с максимальной энергией 1 МэВ. Для обеспечения максимальной равномерности дозы, облучение клубней проводилось с двух противоположных сторон в дозах 0 Гр, 5 Гр, 10 Гр, 15 Гр, 20 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Гр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 Гр</w:t>
      </w: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 проведение облучения, картофель был доставлен в СФНЦА РАН для высевания в поля, а после сбора урожая, клубни нового урожая были отправлены в МГУ для последующего анализа. </w:t>
      </w:r>
    </w:p>
    <w:p w14:paraId="16ACD7B2" w14:textId="31909ADA" w:rsidR="008A4C96" w:rsidRDefault="008A4C96" w:rsidP="008A4C9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проведения химического анализа по оценке образования летучих органических соединений из образцов картофеля, выращенного из облученных клубней, мякоть </w:t>
      </w: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образцов натирали на пластмассовой терке, после чего проводился газовый хромато-масс-спектрометрический анализа на аппарате </w:t>
      </w:r>
      <w:proofErr w:type="spellStart"/>
      <w:r w:rsidRPr="008A4C96">
        <w:rPr>
          <w:rFonts w:ascii="Times New Roman" w:hAnsi="Times New Roman"/>
          <w:color w:val="000000" w:themeColor="text1"/>
          <w:sz w:val="24"/>
          <w:szCs w:val="24"/>
        </w:rPr>
        <w:t>Shimadzu</w:t>
      </w:r>
      <w:proofErr w:type="spellEnd"/>
      <w:r w:rsidRPr="008A4C96">
        <w:rPr>
          <w:rFonts w:ascii="Times New Roman" w:hAnsi="Times New Roman"/>
          <w:color w:val="000000" w:themeColor="text1"/>
          <w:sz w:val="24"/>
          <w:szCs w:val="24"/>
        </w:rPr>
        <w:t xml:space="preserve"> GCMS-QP2010 Ultra (</w:t>
      </w:r>
      <w:proofErr w:type="spellStart"/>
      <w:r w:rsidRPr="008A4C96">
        <w:rPr>
          <w:rFonts w:ascii="Times New Roman" w:hAnsi="Times New Roman"/>
          <w:color w:val="000000" w:themeColor="text1"/>
          <w:sz w:val="24"/>
          <w:szCs w:val="24"/>
        </w:rPr>
        <w:t>Shimadzu</w:t>
      </w:r>
      <w:proofErr w:type="spellEnd"/>
      <w:r w:rsidRPr="008A4C96">
        <w:rPr>
          <w:rFonts w:ascii="Times New Roman" w:hAnsi="Times New Roman"/>
          <w:color w:val="000000" w:themeColor="text1"/>
          <w:sz w:val="24"/>
          <w:szCs w:val="24"/>
        </w:rPr>
        <w:t xml:space="preserve">, Япония), снабженного автоматическим устройством ввода паровой фазы HT200H </w:t>
      </w:r>
      <w:proofErr w:type="spellStart"/>
      <w:r w:rsidRPr="008A4C96">
        <w:rPr>
          <w:rFonts w:ascii="Times New Roman" w:hAnsi="Times New Roman"/>
          <w:color w:val="000000" w:themeColor="text1"/>
          <w:sz w:val="24"/>
          <w:szCs w:val="24"/>
        </w:rPr>
        <w:t>Headspace</w:t>
      </w:r>
      <w:proofErr w:type="spellEnd"/>
      <w:r w:rsidRPr="008A4C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C96">
        <w:rPr>
          <w:rFonts w:ascii="Times New Roman" w:hAnsi="Times New Roman"/>
          <w:color w:val="000000" w:themeColor="text1"/>
          <w:sz w:val="24"/>
          <w:szCs w:val="24"/>
        </w:rPr>
        <w:t>Autosampler</w:t>
      </w:r>
      <w:proofErr w:type="spellEnd"/>
      <w:r w:rsidRPr="008A4C96">
        <w:rPr>
          <w:rFonts w:ascii="Times New Roman" w:hAnsi="Times New Roman"/>
          <w:color w:val="000000" w:themeColor="text1"/>
          <w:sz w:val="24"/>
          <w:szCs w:val="24"/>
        </w:rPr>
        <w:t xml:space="preserve"> (НТА, Италия)</w:t>
      </w:r>
      <w:r w:rsidRPr="008A4C96">
        <w:rPr>
          <w:rFonts w:ascii="Times New Roman" w:hAnsi="Times New Roman" w:cs="Times New Roman"/>
          <w:color w:val="000000" w:themeColor="text1"/>
          <w:sz w:val="24"/>
          <w:szCs w:val="24"/>
        </w:rPr>
        <w:t>. Соединения идентифицировали путем сравнения полученных масс-спектров неизвестных соединений, со спектрами из библиотеки масс</w:t>
      </w:r>
      <w:r w:rsidRPr="008A4C96">
        <w:rPr>
          <w:rFonts w:ascii="Times New Roman" w:hAnsi="Times New Roman" w:cs="Times New Roman"/>
          <w:sz w:val="24"/>
          <w:szCs w:val="24"/>
        </w:rPr>
        <w:t xml:space="preserve">-спектров NIST/EPA/NIH Mass </w:t>
      </w:r>
      <w:proofErr w:type="spellStart"/>
      <w:r w:rsidRPr="008A4C96">
        <w:rPr>
          <w:rFonts w:ascii="Times New Roman" w:hAnsi="Times New Roman" w:cs="Times New Roman"/>
          <w:sz w:val="24"/>
          <w:szCs w:val="24"/>
        </w:rPr>
        <w:t>Spectral</w:t>
      </w:r>
      <w:proofErr w:type="spellEnd"/>
      <w:r w:rsidRPr="008A4C96">
        <w:rPr>
          <w:rFonts w:ascii="Times New Roman" w:hAnsi="Times New Roman" w:cs="Times New Roman"/>
          <w:sz w:val="24"/>
          <w:szCs w:val="24"/>
        </w:rPr>
        <w:t xml:space="preserve"> Library 2008 (NIST 08) с помощью программного обеспечения </w:t>
      </w:r>
      <w:proofErr w:type="spellStart"/>
      <w:r w:rsidRPr="008A4C96">
        <w:rPr>
          <w:rFonts w:ascii="Times New Roman" w:hAnsi="Times New Roman" w:cs="Times New Roman"/>
          <w:sz w:val="24"/>
          <w:szCs w:val="24"/>
        </w:rPr>
        <w:t>GCMSsolution</w:t>
      </w:r>
      <w:proofErr w:type="spellEnd"/>
      <w:r w:rsidRPr="008A4C96">
        <w:rPr>
          <w:rFonts w:ascii="Times New Roman" w:hAnsi="Times New Roman" w:cs="Times New Roman"/>
          <w:sz w:val="24"/>
          <w:szCs w:val="24"/>
        </w:rPr>
        <w:t xml:space="preserve">. </w:t>
      </w:r>
      <w:r w:rsidR="00EF6BD2">
        <w:rPr>
          <w:rFonts w:ascii="Times New Roman" w:hAnsi="Times New Roman" w:cs="Times New Roman"/>
          <w:sz w:val="24"/>
          <w:szCs w:val="24"/>
        </w:rPr>
        <w:t xml:space="preserve">Анализ проводился в течение четырех месяцев после сбора урожая. </w:t>
      </w:r>
    </w:p>
    <w:p w14:paraId="4B6EE877" w14:textId="3A5260DF" w:rsidR="00672190" w:rsidRDefault="00672190" w:rsidP="008A4C9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72190"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были выделены 19 наиболее часто встречающимися летучими органическими соединениями для обоих сортов стали ацетальдегид;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пропаналь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; 2-метилпропаналь; 2-метилбутаналь; 3-метилбутаналь;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пентаналь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гексаналь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гептаналь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; 2-октеналь, относящиеся к классу альдегидов; этанол; 2-метилпропанол-1; 2-метилбутанол-1, относящиеся к классу спиртов; 2-пентил-фуран; 2-этил-фуран; транс-2-(2-пентенил)фуран; 2-н-бутилфуран относящиеся к классу фуранов;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метанитиол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 – класс тиолов; пентан – класс </w:t>
      </w:r>
      <w:proofErr w:type="spellStart"/>
      <w:r w:rsidRPr="00672190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672190">
        <w:rPr>
          <w:rFonts w:ascii="Times New Roman" w:hAnsi="Times New Roman" w:cs="Times New Roman"/>
          <w:sz w:val="24"/>
          <w:szCs w:val="24"/>
        </w:rPr>
        <w:t xml:space="preserve"> и ацетон, принадлежащий к классу кетонов. </w:t>
      </w:r>
      <w:r>
        <w:rPr>
          <w:rFonts w:ascii="Times New Roman" w:hAnsi="Times New Roman" w:cs="Times New Roman"/>
          <w:sz w:val="24"/>
          <w:szCs w:val="24"/>
        </w:rPr>
        <w:t xml:space="preserve">Данные соединения присутствовали в образцах </w:t>
      </w:r>
      <w:r w:rsidR="005A7F77">
        <w:rPr>
          <w:rFonts w:ascii="Times New Roman" w:hAnsi="Times New Roman" w:cs="Times New Roman"/>
          <w:sz w:val="24"/>
          <w:szCs w:val="24"/>
        </w:rPr>
        <w:t xml:space="preserve">в течение всего времени исследования. </w:t>
      </w:r>
    </w:p>
    <w:p w14:paraId="055B2C1F" w14:textId="758BA6AB" w:rsidR="005A7F77" w:rsidRPr="00740E58" w:rsidRDefault="00740E58" w:rsidP="0074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было обнаружено, что в зависимости от времени, прошедшего с момента сбора урожая, пик концентраций наблюдаемых летучих органических соединений выпадал на разные значения доз, поглощенных семенным материалом. В дальнейшей работе будет проверятся гипотеза о способности отделения урожая, выращенного из облученного и необлученного картофеля на основе полученных данных, стандартными методами машинного обучения. </w:t>
      </w:r>
    </w:p>
    <w:p w14:paraId="0DD53D6F" w14:textId="48A28E76" w:rsidR="008A4C96" w:rsidRPr="008A4C96" w:rsidRDefault="008A4C96" w:rsidP="008A4C9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4C96">
        <w:rPr>
          <w:rFonts w:ascii="Times New Roman" w:hAnsi="Times New Roman" w:cs="Times New Roman"/>
          <w:sz w:val="24"/>
          <w:szCs w:val="24"/>
        </w:rPr>
        <w:t>Исследование выполнено при финансовой поддержке РНФ в рамках научного проекта №22-63-00075</w:t>
      </w:r>
    </w:p>
    <w:p w14:paraId="3C897E1F" w14:textId="3D4887DF" w:rsidR="008A4C96" w:rsidRDefault="008A4C96" w:rsidP="00884D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D623E" w14:textId="77777777" w:rsidR="00A54888" w:rsidRPr="00A54888" w:rsidRDefault="00A54888" w:rsidP="00A54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88">
        <w:rPr>
          <w:rFonts w:ascii="Times New Roman" w:hAnsi="Times New Roman" w:cs="Times New Roman"/>
          <w:sz w:val="24"/>
          <w:szCs w:val="24"/>
        </w:rPr>
        <w:t>1. А.П. Черняев, Радиационные технологии (Университет «Книжный Дом», Москва, 2019).</w:t>
      </w:r>
    </w:p>
    <w:p w14:paraId="22915061" w14:textId="23EEEF7E" w:rsidR="00A54888" w:rsidRDefault="00A54888" w:rsidP="00A54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888">
        <w:rPr>
          <w:rFonts w:ascii="Times New Roman" w:hAnsi="Times New Roman" w:cs="Times New Roman"/>
          <w:sz w:val="24"/>
          <w:szCs w:val="24"/>
          <w:lang w:val="en-US"/>
        </w:rPr>
        <w:t xml:space="preserve">2. Codex Alimentarius Commission et al. Codex general standard for irradiated foods //Codex stan. – 2003. – </w:t>
      </w:r>
      <w:r w:rsidRPr="00A54888">
        <w:rPr>
          <w:rFonts w:ascii="Times New Roman" w:hAnsi="Times New Roman" w:cs="Times New Roman"/>
          <w:sz w:val="24"/>
          <w:szCs w:val="24"/>
        </w:rPr>
        <w:t>С</w:t>
      </w:r>
      <w:r w:rsidRPr="00A54888">
        <w:rPr>
          <w:rFonts w:ascii="Times New Roman" w:hAnsi="Times New Roman" w:cs="Times New Roman"/>
          <w:sz w:val="24"/>
          <w:szCs w:val="24"/>
          <w:lang w:val="en-US"/>
        </w:rPr>
        <w:t>. 106-1983.</w:t>
      </w:r>
    </w:p>
    <w:p w14:paraId="18BF171E" w14:textId="16CB2B4F" w:rsidR="00EF6BD2" w:rsidRDefault="00EF6BD2" w:rsidP="00EF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F6BD2">
        <w:rPr>
          <w:rFonts w:ascii="Times New Roman" w:hAnsi="Times New Roman" w:cs="Times New Roman"/>
          <w:sz w:val="24"/>
          <w:szCs w:val="24"/>
          <w:lang w:val="en-US"/>
        </w:rPr>
        <w:t>Etemadinasab</w:t>
      </w:r>
      <w:proofErr w:type="spellEnd"/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 H. et al. Effects of electron beam irradiation on physicochemical, nutritional properties and storage life of five potato cultivars //Radiation Physics and Chemistry. – 2020. – </w:t>
      </w:r>
      <w:r w:rsidRPr="00EF6BD2">
        <w:rPr>
          <w:rFonts w:ascii="Times New Roman" w:hAnsi="Times New Roman" w:cs="Times New Roman"/>
          <w:sz w:val="24"/>
          <w:szCs w:val="24"/>
        </w:rPr>
        <w:t>Т</w:t>
      </w:r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. 177. – </w:t>
      </w:r>
      <w:r w:rsidRPr="00EF6BD2">
        <w:rPr>
          <w:rFonts w:ascii="Times New Roman" w:hAnsi="Times New Roman" w:cs="Times New Roman"/>
          <w:sz w:val="24"/>
          <w:szCs w:val="24"/>
        </w:rPr>
        <w:t>С</w:t>
      </w:r>
      <w:r w:rsidRPr="00EF6BD2">
        <w:rPr>
          <w:rFonts w:ascii="Times New Roman" w:hAnsi="Times New Roman" w:cs="Times New Roman"/>
          <w:sz w:val="24"/>
          <w:szCs w:val="24"/>
          <w:lang w:val="en-US"/>
        </w:rPr>
        <w:t>. 109093.</w:t>
      </w:r>
    </w:p>
    <w:p w14:paraId="0B49256F" w14:textId="77777777" w:rsidR="00EF6BD2" w:rsidRPr="00EF6BD2" w:rsidRDefault="00EF6BD2" w:rsidP="00EF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E68C3F" w14:textId="77777777" w:rsidR="00EF6BD2" w:rsidRPr="00EF6BD2" w:rsidRDefault="00EF6BD2" w:rsidP="00E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BD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EF6BD2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Blessington T. et al. The use of low-dose electron-beam irradiation and storage conditions for sprout control and their effects on Xanthophylls, antioxidant capacity, and phenolics in the potato </w:t>
      </w:r>
      <w:proofErr w:type="spellStart"/>
      <w:r w:rsidRPr="00EF6BD2">
        <w:rPr>
          <w:rFonts w:ascii="Times New Roman" w:hAnsi="Times New Roman" w:cs="Times New Roman"/>
          <w:sz w:val="24"/>
          <w:szCs w:val="24"/>
          <w:lang w:val="en-US"/>
        </w:rPr>
        <w:t>cultivarAtlantic</w:t>
      </w:r>
      <w:proofErr w:type="spellEnd"/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 //American Journal of Potato Research. – 2015. – </w:t>
      </w:r>
      <w:r w:rsidRPr="00EF6BD2">
        <w:rPr>
          <w:rFonts w:ascii="Times New Roman" w:hAnsi="Times New Roman" w:cs="Times New Roman"/>
          <w:sz w:val="24"/>
          <w:szCs w:val="24"/>
        </w:rPr>
        <w:t>Т</w:t>
      </w:r>
      <w:r w:rsidRPr="00EF6BD2">
        <w:rPr>
          <w:rFonts w:ascii="Times New Roman" w:hAnsi="Times New Roman" w:cs="Times New Roman"/>
          <w:sz w:val="24"/>
          <w:szCs w:val="24"/>
          <w:lang w:val="en-US"/>
        </w:rPr>
        <w:t xml:space="preserve">. 92. – </w:t>
      </w:r>
      <w:r w:rsidRPr="00EF6BD2">
        <w:rPr>
          <w:rFonts w:ascii="Times New Roman" w:hAnsi="Times New Roman" w:cs="Times New Roman"/>
          <w:sz w:val="24"/>
          <w:szCs w:val="24"/>
        </w:rPr>
        <w:t>С</w:t>
      </w:r>
      <w:r w:rsidRPr="00EF6BD2">
        <w:rPr>
          <w:rFonts w:ascii="Times New Roman" w:hAnsi="Times New Roman" w:cs="Times New Roman"/>
          <w:sz w:val="24"/>
          <w:szCs w:val="24"/>
          <w:lang w:val="en-US"/>
        </w:rPr>
        <w:t>. 609-618.</w:t>
      </w:r>
    </w:p>
    <w:p w14:paraId="206689BF" w14:textId="77777777" w:rsidR="00EF6BD2" w:rsidRPr="00A54888" w:rsidRDefault="00EF6BD2" w:rsidP="00A54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6BD2" w:rsidRPr="00A54888" w:rsidSect="003517C4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C4"/>
    <w:rsid w:val="0001217D"/>
    <w:rsid w:val="003517C4"/>
    <w:rsid w:val="0045454E"/>
    <w:rsid w:val="004848AB"/>
    <w:rsid w:val="005A7F77"/>
    <w:rsid w:val="00672190"/>
    <w:rsid w:val="00740E58"/>
    <w:rsid w:val="00884D31"/>
    <w:rsid w:val="008A4C96"/>
    <w:rsid w:val="008D0EB0"/>
    <w:rsid w:val="00975DF4"/>
    <w:rsid w:val="00A54888"/>
    <w:rsid w:val="00A75792"/>
    <w:rsid w:val="00AE61E0"/>
    <w:rsid w:val="00C80310"/>
    <w:rsid w:val="00D072EF"/>
    <w:rsid w:val="00E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1062"/>
  <w15:chartTrackingRefBased/>
  <w15:docId w15:val="{FCE7A631-3BB2-46F2-BC7C-898AAF75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zhetova.it19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Ухин</dc:creator>
  <cp:keywords/>
  <dc:description/>
  <cp:lastModifiedBy>Дмитрий Ухин</cp:lastModifiedBy>
  <cp:revision>5</cp:revision>
  <dcterms:created xsi:type="dcterms:W3CDTF">2025-03-03T12:36:00Z</dcterms:created>
  <dcterms:modified xsi:type="dcterms:W3CDTF">2025-03-09T17:14:00Z</dcterms:modified>
</cp:coreProperties>
</file>