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228C" w14:textId="3216092C" w:rsidR="001E72C2" w:rsidRPr="005E0330" w:rsidRDefault="005E0330" w:rsidP="001E72C2">
      <w:pPr>
        <w:suppressAutoHyphens/>
        <w:jc w:val="center"/>
        <w:rPr>
          <w:rFonts w:cs="Times New Roman"/>
          <w:b/>
          <w:szCs w:val="24"/>
        </w:rPr>
      </w:pPr>
      <w:r w:rsidRPr="005E0330">
        <w:rPr>
          <w:rFonts w:cs="Times New Roman"/>
          <w:b/>
          <w:szCs w:val="24"/>
        </w:rPr>
        <w:t xml:space="preserve">Магнитная динамика </w:t>
      </w:r>
      <w:r w:rsidRPr="005E0330">
        <w:rPr>
          <w:rFonts w:cs="Times New Roman"/>
          <w:b/>
          <w:szCs w:val="24"/>
        </w:rPr>
        <w:t>одномерных наноструктур на нитридизированной поверхности меди</w:t>
      </w:r>
      <w:r w:rsidRPr="005E0330">
        <w:rPr>
          <w:rFonts w:cs="Times New Roman"/>
          <w:b/>
          <w:szCs w:val="24"/>
        </w:rPr>
        <w:t xml:space="preserve"> с учётом температурных флуктуаций и </w:t>
      </w:r>
      <w:r w:rsidR="00A61A41" w:rsidRPr="005E0330">
        <w:rPr>
          <w:rFonts w:cs="Times New Roman"/>
          <w:b/>
          <w:szCs w:val="24"/>
        </w:rPr>
        <w:t xml:space="preserve">взаимодействия </w:t>
      </w:r>
      <w:proofErr w:type="spellStart"/>
      <w:r w:rsidR="00A61A41" w:rsidRPr="005E0330">
        <w:rPr>
          <w:rFonts w:cs="Times New Roman"/>
          <w:b/>
          <w:szCs w:val="24"/>
        </w:rPr>
        <w:t>Дзялошинского</w:t>
      </w:r>
      <w:proofErr w:type="spellEnd"/>
      <w:r w:rsidR="00A61A41" w:rsidRPr="005E0330">
        <w:rPr>
          <w:rFonts w:cs="Times New Roman"/>
          <w:b/>
          <w:szCs w:val="24"/>
        </w:rPr>
        <w:t>-Мория</w:t>
      </w:r>
    </w:p>
    <w:p w14:paraId="7B322BB3" w14:textId="77777777" w:rsidR="001E72C2" w:rsidRPr="005E0330" w:rsidRDefault="001E72C2" w:rsidP="001E72C2">
      <w:pPr>
        <w:suppressAutoHyphens/>
        <w:ind w:firstLine="708"/>
        <w:jc w:val="center"/>
        <w:rPr>
          <w:rFonts w:cs="Times New Roman"/>
          <w:b/>
          <w:i/>
          <w:szCs w:val="24"/>
          <w:vertAlign w:val="superscript"/>
        </w:rPr>
      </w:pPr>
      <w:r w:rsidRPr="005E0330">
        <w:rPr>
          <w:rFonts w:cs="Times New Roman"/>
          <w:b/>
          <w:i/>
          <w:szCs w:val="24"/>
        </w:rPr>
        <w:t>Локтионов И.А.</w:t>
      </w:r>
      <w:r w:rsidRPr="005E0330">
        <w:rPr>
          <w:rFonts w:cs="Times New Roman"/>
          <w:b/>
          <w:i/>
          <w:szCs w:val="24"/>
          <w:vertAlign w:val="superscript"/>
        </w:rPr>
        <w:t>1</w:t>
      </w:r>
    </w:p>
    <w:p w14:paraId="4EC35FDF" w14:textId="680EA13A" w:rsidR="001E72C2" w:rsidRPr="005E0330" w:rsidRDefault="001E72C2" w:rsidP="001E72C2">
      <w:pPr>
        <w:suppressAutoHyphens/>
        <w:jc w:val="center"/>
        <w:rPr>
          <w:rFonts w:cs="Times New Roman"/>
          <w:i/>
          <w:szCs w:val="24"/>
        </w:rPr>
      </w:pPr>
      <w:r w:rsidRPr="005E0330">
        <w:rPr>
          <w:rFonts w:cs="Times New Roman"/>
          <w:i/>
          <w:szCs w:val="24"/>
          <w:vertAlign w:val="superscript"/>
        </w:rPr>
        <w:t>1</w:t>
      </w:r>
      <w:r w:rsidRPr="005E0330">
        <w:rPr>
          <w:rFonts w:cs="Times New Roman"/>
          <w:i/>
          <w:szCs w:val="24"/>
        </w:rPr>
        <w:t xml:space="preserve">Аспирант </w:t>
      </w:r>
      <w:r w:rsidRPr="005E0330">
        <w:rPr>
          <w:rFonts w:cs="Times New Roman"/>
          <w:i/>
          <w:szCs w:val="24"/>
        </w:rPr>
        <w:t>2</w:t>
      </w:r>
      <w:r w:rsidRPr="005E0330">
        <w:rPr>
          <w:rFonts w:cs="Times New Roman"/>
          <w:i/>
          <w:szCs w:val="24"/>
        </w:rPr>
        <w:t>-го года</w:t>
      </w:r>
    </w:p>
    <w:p w14:paraId="3841D2F1" w14:textId="77777777" w:rsidR="001E72C2" w:rsidRPr="005E0330" w:rsidRDefault="001E72C2" w:rsidP="001E72C2">
      <w:pPr>
        <w:suppressAutoHyphens/>
        <w:ind w:firstLine="708"/>
        <w:jc w:val="center"/>
        <w:rPr>
          <w:rFonts w:cs="Times New Roman"/>
          <w:b/>
          <w:i/>
          <w:szCs w:val="24"/>
          <w:vertAlign w:val="superscript"/>
        </w:rPr>
      </w:pPr>
      <w:r w:rsidRPr="005E0330">
        <w:rPr>
          <w:rFonts w:cs="Times New Roman"/>
          <w:b/>
          <w:i/>
          <w:szCs w:val="24"/>
        </w:rPr>
        <w:t>Бажанов Д.И.</w:t>
      </w:r>
      <w:r w:rsidRPr="005E0330">
        <w:rPr>
          <w:rFonts w:cs="Times New Roman"/>
          <w:b/>
          <w:i/>
          <w:szCs w:val="24"/>
          <w:vertAlign w:val="superscript"/>
        </w:rPr>
        <w:t>2</w:t>
      </w:r>
    </w:p>
    <w:p w14:paraId="504634BA" w14:textId="77777777" w:rsidR="001E72C2" w:rsidRPr="005E0330" w:rsidRDefault="001E72C2" w:rsidP="001E72C2">
      <w:pPr>
        <w:suppressAutoHyphens/>
        <w:jc w:val="center"/>
        <w:rPr>
          <w:rFonts w:cs="Times New Roman"/>
          <w:i/>
          <w:szCs w:val="24"/>
        </w:rPr>
      </w:pPr>
      <w:r w:rsidRPr="005E0330">
        <w:rPr>
          <w:rFonts w:cs="Times New Roman"/>
          <w:i/>
          <w:szCs w:val="24"/>
          <w:vertAlign w:val="superscript"/>
        </w:rPr>
        <w:t>2</w:t>
      </w:r>
      <w:r w:rsidRPr="005E0330">
        <w:rPr>
          <w:rFonts w:cs="Times New Roman"/>
          <w:i/>
          <w:szCs w:val="24"/>
        </w:rPr>
        <w:t>Старший преподаватель кафедры физики твёрдого тела, кандидат физико-математических наук</w:t>
      </w:r>
    </w:p>
    <w:p w14:paraId="3061A0DB" w14:textId="77777777" w:rsidR="001E72C2" w:rsidRPr="005E0330" w:rsidRDefault="001E72C2" w:rsidP="001E72C2">
      <w:pPr>
        <w:suppressAutoHyphens/>
        <w:spacing w:after="0"/>
        <w:jc w:val="center"/>
        <w:rPr>
          <w:rStyle w:val="ac"/>
          <w:rFonts w:cs="Times New Roman"/>
          <w:szCs w:val="24"/>
          <w:shd w:val="clear" w:color="auto" w:fill="FFFFFF"/>
        </w:rPr>
      </w:pPr>
      <w:r w:rsidRPr="005E0330">
        <w:rPr>
          <w:rStyle w:val="ac"/>
          <w:rFonts w:cs="Times New Roman"/>
          <w:szCs w:val="24"/>
          <w:shd w:val="clear" w:color="auto" w:fill="FFFFFF"/>
        </w:rPr>
        <w:t>Московский государственный университет имени М.В. Ломоносова,</w:t>
      </w:r>
    </w:p>
    <w:p w14:paraId="2C64D0DE" w14:textId="77777777" w:rsidR="001E72C2" w:rsidRPr="005E0330" w:rsidRDefault="001E72C2" w:rsidP="001E72C2">
      <w:pPr>
        <w:suppressAutoHyphens/>
        <w:jc w:val="center"/>
        <w:rPr>
          <w:rStyle w:val="ac"/>
          <w:rFonts w:cs="Times New Roman"/>
          <w:szCs w:val="24"/>
          <w:shd w:val="clear" w:color="auto" w:fill="FFFFFF"/>
        </w:rPr>
      </w:pPr>
      <w:r w:rsidRPr="005E0330">
        <w:rPr>
          <w:rStyle w:val="ac"/>
          <w:rFonts w:cs="Times New Roman"/>
          <w:szCs w:val="24"/>
          <w:shd w:val="clear" w:color="auto" w:fill="FFFFFF"/>
        </w:rPr>
        <w:t>физический факультет, Москва, Россия</w:t>
      </w:r>
    </w:p>
    <w:p w14:paraId="32ADB049" w14:textId="77777777" w:rsidR="001E72C2" w:rsidRPr="005E0330" w:rsidRDefault="001E72C2" w:rsidP="001E72C2">
      <w:pPr>
        <w:suppressAutoHyphens/>
        <w:jc w:val="center"/>
        <w:rPr>
          <w:rStyle w:val="ac"/>
          <w:rFonts w:cs="Times New Roman"/>
          <w:szCs w:val="24"/>
          <w:shd w:val="clear" w:color="auto" w:fill="FFFFFF"/>
        </w:rPr>
      </w:pPr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E</w:t>
      </w:r>
      <w:r w:rsidRPr="005E0330">
        <w:rPr>
          <w:rStyle w:val="ac"/>
          <w:rFonts w:cs="Times New Roman"/>
          <w:szCs w:val="24"/>
          <w:shd w:val="clear" w:color="auto" w:fill="FFFFFF"/>
        </w:rPr>
        <w:t>-</w:t>
      </w:r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mail</w:t>
      </w:r>
      <w:r w:rsidRPr="005E0330">
        <w:rPr>
          <w:rStyle w:val="ac"/>
          <w:rFonts w:cs="Times New Roman"/>
          <w:szCs w:val="24"/>
          <w:shd w:val="clear" w:color="auto" w:fill="FFFFFF"/>
        </w:rPr>
        <w:t xml:space="preserve">: </w:t>
      </w:r>
      <w:proofErr w:type="spellStart"/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ia</w:t>
      </w:r>
      <w:proofErr w:type="spellEnd"/>
      <w:r w:rsidRPr="005E0330">
        <w:rPr>
          <w:rStyle w:val="ac"/>
          <w:rFonts w:cs="Times New Roman"/>
          <w:szCs w:val="24"/>
          <w:shd w:val="clear" w:color="auto" w:fill="FFFFFF"/>
        </w:rPr>
        <w:t>.</w:t>
      </w:r>
      <w:proofErr w:type="spellStart"/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loktionov</w:t>
      </w:r>
      <w:proofErr w:type="spellEnd"/>
      <w:r w:rsidRPr="005E0330">
        <w:rPr>
          <w:rStyle w:val="ac"/>
          <w:rFonts w:cs="Times New Roman"/>
          <w:szCs w:val="24"/>
          <w:shd w:val="clear" w:color="auto" w:fill="FFFFFF"/>
        </w:rPr>
        <w:t>@</w:t>
      </w:r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physics</w:t>
      </w:r>
      <w:r w:rsidRPr="005E0330">
        <w:rPr>
          <w:rStyle w:val="ac"/>
          <w:rFonts w:cs="Times New Roman"/>
          <w:szCs w:val="24"/>
          <w:shd w:val="clear" w:color="auto" w:fill="FFFFFF"/>
        </w:rPr>
        <w:t>.</w:t>
      </w:r>
      <w:proofErr w:type="spellStart"/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msu</w:t>
      </w:r>
      <w:proofErr w:type="spellEnd"/>
      <w:r w:rsidRPr="005E0330">
        <w:rPr>
          <w:rStyle w:val="ac"/>
          <w:rFonts w:cs="Times New Roman"/>
          <w:szCs w:val="24"/>
          <w:shd w:val="clear" w:color="auto" w:fill="FFFFFF"/>
        </w:rPr>
        <w:t>.</w:t>
      </w:r>
      <w:proofErr w:type="spellStart"/>
      <w:r w:rsidRPr="005E0330">
        <w:rPr>
          <w:rStyle w:val="ac"/>
          <w:rFonts w:cs="Times New Roman"/>
          <w:szCs w:val="24"/>
          <w:shd w:val="clear" w:color="auto" w:fill="FFFFFF"/>
          <w:lang w:val="en-US"/>
        </w:rPr>
        <w:t>ru</w:t>
      </w:r>
      <w:proofErr w:type="spellEnd"/>
    </w:p>
    <w:p w14:paraId="022F6969" w14:textId="3D5C09EF" w:rsidR="00BA3A69" w:rsidRDefault="00BA3A69" w:rsidP="00BA3A69">
      <w:pPr>
        <w:spacing w:after="0"/>
        <w:ind w:firstLine="425"/>
        <w:jc w:val="both"/>
      </w:pPr>
      <w:proofErr w:type="spellStart"/>
      <w:r w:rsidRPr="001F5411">
        <w:t>Моноатомный</w:t>
      </w:r>
      <w:proofErr w:type="spellEnd"/>
      <w:r w:rsidRPr="001F5411">
        <w:t xml:space="preserve"> слой нитрида меди – ковалентно связанная сетка, позволяющая «отсекать» электронную структуру адсорбата от проводящей подложки</w:t>
      </w:r>
      <w:r>
        <w:t xml:space="preserve">. </w:t>
      </w:r>
      <w:r w:rsidRPr="009E3D50">
        <w:t>Атомная структура нитрида меди сильно изменяется (релаксирует) при осаждении адатомов за счёт их внедрения в структуру монослоя</w:t>
      </w:r>
      <w:r w:rsidRPr="00BA3A69">
        <w:t xml:space="preserve"> [1]</w:t>
      </w:r>
      <w:r>
        <w:t xml:space="preserve">. В 2012 году на поверхности </w:t>
      </w:r>
      <w:r>
        <w:rPr>
          <w:lang w:val="en-US"/>
        </w:rPr>
        <w:t>Cu</w:t>
      </w:r>
      <w:r w:rsidRPr="001F7A00">
        <w:rPr>
          <w:vertAlign w:val="subscript"/>
        </w:rPr>
        <w:t>2</w:t>
      </w:r>
      <w:r>
        <w:rPr>
          <w:lang w:val="en-US"/>
        </w:rPr>
        <w:t>N</w:t>
      </w:r>
      <w:r w:rsidRPr="001F7A00">
        <w:t xml:space="preserve"> </w:t>
      </w:r>
      <w:r>
        <w:t>с помощью сканирующего туннельного микроскопа были собраны цепочки из атомов железа</w:t>
      </w:r>
      <w:r w:rsidRPr="00BA3A69">
        <w:t xml:space="preserve"> [2]</w:t>
      </w:r>
      <w:r>
        <w:t xml:space="preserve">. Они имели антиферромагнитное упорядочение, и между двумя конфигурациями спинов с противоположным направлением возможно было осуществлять переключение с помощью иглы СТМ. Такая </w:t>
      </w:r>
      <w:proofErr w:type="spellStart"/>
      <w:r>
        <w:t>бистабильность</w:t>
      </w:r>
      <w:proofErr w:type="spellEnd"/>
      <w:r>
        <w:t xml:space="preserve"> указывает на возможность записи бита информации в цепочке. Также в этой работе было получено, что частота переворота спинов зависит от температуры согласно закону Аррениуса, диапазон температур при этом определялся длиной и шириной цепочек. Цепочки также могут формироваться самостоятельно при эпитаксии на поверхности </w:t>
      </w:r>
      <w:r>
        <w:rPr>
          <w:lang w:val="en-US"/>
        </w:rPr>
        <w:t>Cu</w:t>
      </w:r>
      <w:r w:rsidRPr="001F7A00">
        <w:rPr>
          <w:vertAlign w:val="subscript"/>
        </w:rPr>
        <w:t>3</w:t>
      </w:r>
      <w:r>
        <w:rPr>
          <w:lang w:val="en-US"/>
        </w:rPr>
        <w:t>N</w:t>
      </w:r>
      <w:r w:rsidR="006C061A" w:rsidRPr="006C061A">
        <w:t xml:space="preserve"> [3]</w:t>
      </w:r>
      <w:r>
        <w:t xml:space="preserve">. </w:t>
      </w:r>
    </w:p>
    <w:p w14:paraId="50E1C365" w14:textId="0A9F2DF4" w:rsidR="001E72C2" w:rsidRDefault="00BA3A69" w:rsidP="00BA3A69">
      <w:pPr>
        <w:spacing w:after="0"/>
        <w:ind w:firstLine="425"/>
        <w:jc w:val="both"/>
        <w:rPr>
          <w:lang w:val="en-US"/>
        </w:rPr>
      </w:pPr>
      <w:r>
        <w:t xml:space="preserve">При рассмотрении магнитного состояния цепочек часто пренебрегают неколлинеарными эффектами. Однако, как было показано в работе 2016 года, параметр взаимодействия </w:t>
      </w:r>
      <w:proofErr w:type="spellStart"/>
      <w:r>
        <w:t>Дзялошинского</w:t>
      </w:r>
      <w:proofErr w:type="spellEnd"/>
      <w:r>
        <w:t>-Мория может быть сравним по величине с параметром обменного взаимодействия, что может вызвать сильное отклонение от коллинеарной ориентации спинов</w:t>
      </w:r>
      <w:r w:rsidR="006C061A" w:rsidRPr="006C061A">
        <w:t xml:space="preserve"> [4]</w:t>
      </w:r>
      <w:r>
        <w:t>.</w:t>
      </w:r>
    </w:p>
    <w:p w14:paraId="655AF0BC" w14:textId="228B4D0F" w:rsidR="006C061A" w:rsidRDefault="006C061A" w:rsidP="00BA3A69">
      <w:pPr>
        <w:spacing w:after="0"/>
        <w:ind w:firstLine="425"/>
        <w:jc w:val="both"/>
        <w:rPr>
          <w:lang w:val="en-US"/>
        </w:rPr>
      </w:pPr>
      <w:r>
        <w:t xml:space="preserve">В данной работе исследуется спиновая динамика атомных цепочек на поверхности нитридизированной меди в рамках уравнения Ландау-Лифшица-Гильберта (ЛЛГ). Гамильтониан, для которого записывается это уравнение, содержит вклады взаимодействия с внешним магнитным полем, обменного взаимодействия и магнитной анизотропии. Соответствующие энергетические параметры извлекаются из расчётов методом функционала плотности в программном пакете </w:t>
      </w:r>
      <w:r>
        <w:rPr>
          <w:lang w:val="en-US"/>
        </w:rPr>
        <w:t>VASP</w:t>
      </w:r>
      <w:r>
        <w:t xml:space="preserve">. Также в рамках этого метода можно определить параметры взаимодействия </w:t>
      </w:r>
      <w:proofErr w:type="spellStart"/>
      <w:r>
        <w:t>Дзялошинского</w:t>
      </w:r>
      <w:proofErr w:type="spellEnd"/>
      <w:r>
        <w:t>-Мория и добавить соответствующий вклад в гамильтониан. Кроме того, уравнение ЛЛГ позволяет моделировать спиновую динамику под воздействием тепловых флуктуаций. Они учитываются путём ввода в эффективное магнитное поле вклада в виде белого шума.</w:t>
      </w:r>
    </w:p>
    <w:p w14:paraId="59524CE0" w14:textId="4984A2B9" w:rsidR="00213435" w:rsidRPr="00213435" w:rsidRDefault="00213435" w:rsidP="00BA3A69">
      <w:pPr>
        <w:spacing w:after="0"/>
        <w:ind w:firstLine="425"/>
        <w:jc w:val="both"/>
        <w:rPr>
          <w:rFonts w:cs="Times New Roman"/>
          <w:szCs w:val="24"/>
        </w:rPr>
      </w:pPr>
      <w:r>
        <w:t xml:space="preserve">Для бесконечных цепочек атомов кобальта на поверхности </w:t>
      </w:r>
      <w:r>
        <w:rPr>
          <w:lang w:val="en-US"/>
        </w:rPr>
        <w:t>Cu</w:t>
      </w:r>
      <w:r w:rsidRPr="001F7A00">
        <w:rPr>
          <w:vertAlign w:val="subscript"/>
        </w:rPr>
        <w:t>3</w:t>
      </w:r>
      <w:r>
        <w:rPr>
          <w:lang w:val="en-US"/>
        </w:rPr>
        <w:t>N</w:t>
      </w:r>
      <w:r>
        <w:t xml:space="preserve"> </w:t>
      </w:r>
      <w:r>
        <w:t xml:space="preserve">было определено </w:t>
      </w:r>
      <w:r>
        <w:t>м</w:t>
      </w:r>
      <w:r>
        <w:t>агнитное поле, при котором происходит переворот всех спинов, при разных внешних электрических полях и, соответственно, разных обменных параметрах</w:t>
      </w:r>
      <w:r>
        <w:t xml:space="preserve">. </w:t>
      </w:r>
      <w:r>
        <w:t>Были получены плотности распределения времени переворота спина при разных температурах. Найдено, что з</w:t>
      </w:r>
      <w:r w:rsidRPr="00F4121D">
        <w:t>ависимость среднего времени переворота от температуры</w:t>
      </w:r>
      <w:r>
        <w:t xml:space="preserve"> хорошо аппроксимируется законом Аррениуса, </w:t>
      </w:r>
      <w:r>
        <w:t>что согласуется с</w:t>
      </w:r>
      <w:r>
        <w:t xml:space="preserve"> экспериментальны</w:t>
      </w:r>
      <w:r>
        <w:t>ми</w:t>
      </w:r>
      <w:r>
        <w:t xml:space="preserve"> результата</w:t>
      </w:r>
      <w:r>
        <w:t>ми</w:t>
      </w:r>
      <w:r>
        <w:t>. Приложение внешнего магнитного поля при ненулевой температуре приводит к уменьшению среднего времени переворота.</w:t>
      </w:r>
      <w:r>
        <w:t xml:space="preserve"> Т</w:t>
      </w:r>
      <w:r>
        <w:t xml:space="preserve">акже </w:t>
      </w:r>
      <w:r>
        <w:t>для</w:t>
      </w:r>
      <w:r>
        <w:t xml:space="preserve"> димер</w:t>
      </w:r>
      <w:r>
        <w:t>ов</w:t>
      </w:r>
      <w:r>
        <w:t xml:space="preserve"> кобальта и железа на поверхности </w:t>
      </w:r>
      <w:r>
        <w:rPr>
          <w:lang w:val="en-US"/>
        </w:rPr>
        <w:t>Cu</w:t>
      </w:r>
      <w:r>
        <w:rPr>
          <w:vertAlign w:val="subscript"/>
        </w:rPr>
        <w:t>2</w:t>
      </w:r>
      <w:r>
        <w:rPr>
          <w:lang w:val="en-US"/>
        </w:rPr>
        <w:t>N</w:t>
      </w:r>
      <w:r>
        <w:t xml:space="preserve"> </w:t>
      </w:r>
      <w:r>
        <w:t xml:space="preserve">при </w:t>
      </w:r>
      <w:r>
        <w:lastRenderedPageBreak/>
        <w:t>различных</w:t>
      </w:r>
      <w:r>
        <w:t xml:space="preserve"> значениях электрического поля были получены параметры взаимодействия </w:t>
      </w:r>
      <w:proofErr w:type="spellStart"/>
      <w:r>
        <w:t>Дзялошинского</w:t>
      </w:r>
      <w:proofErr w:type="spellEnd"/>
      <w:r>
        <w:t>-Мория</w:t>
      </w:r>
      <w:r>
        <w:t xml:space="preserve">. </w:t>
      </w:r>
      <w:r>
        <w:t xml:space="preserve">Учёт этого взаимодействия приводит к уменьшению </w:t>
      </w:r>
      <w:r>
        <w:t xml:space="preserve">магнитного </w:t>
      </w:r>
      <w:r>
        <w:t>поля переключения спинов</w:t>
      </w:r>
      <w:r w:rsidR="005E0330">
        <w:t xml:space="preserve"> без учёта температурных флуктуаций</w:t>
      </w:r>
      <w:r>
        <w:t xml:space="preserve">, а </w:t>
      </w:r>
      <w:r w:rsidR="005E0330">
        <w:t xml:space="preserve">при </w:t>
      </w:r>
      <w:r w:rsidR="005E0330" w:rsidRPr="005E0330">
        <w:rPr>
          <w:rFonts w:cs="Calibri"/>
        </w:rPr>
        <w:t xml:space="preserve">их учёте </w:t>
      </w:r>
      <w:r>
        <w:t xml:space="preserve">также </w:t>
      </w:r>
      <w:r w:rsidRPr="005E0330">
        <w:rPr>
          <w:rFonts w:cs="Calibri"/>
        </w:rPr>
        <w:t xml:space="preserve">к сильному различию распределений времени </w:t>
      </w:r>
      <w:r w:rsidR="005E0330">
        <w:t xml:space="preserve">переключения </w:t>
      </w:r>
      <w:r w:rsidRPr="005E0330">
        <w:rPr>
          <w:rFonts w:cs="Calibri"/>
        </w:rPr>
        <w:t>и соответствующих средних врем</w:t>
      </w:r>
      <w:r w:rsidRPr="005E0330">
        <w:rPr>
          <w:rFonts w:cs="Calibri"/>
        </w:rPr>
        <w:t>ё</w:t>
      </w:r>
      <w:r w:rsidRPr="005E0330">
        <w:rPr>
          <w:rFonts w:cs="Calibri"/>
        </w:rPr>
        <w:t xml:space="preserve">н </w:t>
      </w:r>
      <w:r w:rsidR="005E0330">
        <w:t>переключения</w:t>
      </w:r>
      <w:r w:rsidRPr="005E0330">
        <w:rPr>
          <w:rFonts w:cs="Calibri"/>
        </w:rPr>
        <w:t>.</w:t>
      </w:r>
    </w:p>
    <w:p w14:paraId="0011D0EA" w14:textId="4953AC14" w:rsidR="001E72C2" w:rsidRPr="006C061A" w:rsidRDefault="001E72C2" w:rsidP="001E72C2">
      <w:pPr>
        <w:ind w:firstLine="426"/>
        <w:jc w:val="both"/>
        <w:rPr>
          <w:rFonts w:cs="Times New Roman"/>
          <w:szCs w:val="24"/>
        </w:rPr>
      </w:pPr>
    </w:p>
    <w:p w14:paraId="46883E9B" w14:textId="77777777" w:rsidR="001E72C2" w:rsidRPr="004B066D" w:rsidRDefault="001E72C2" w:rsidP="001E72C2">
      <w:pPr>
        <w:ind w:firstLine="397"/>
        <w:jc w:val="center"/>
        <w:rPr>
          <w:rFonts w:cs="Times New Roman"/>
          <w:szCs w:val="24"/>
        </w:rPr>
      </w:pPr>
      <w:r w:rsidRPr="004B066D">
        <w:rPr>
          <w:rFonts w:cs="Times New Roman"/>
          <w:b/>
          <w:szCs w:val="24"/>
        </w:rPr>
        <w:t>Литература</w:t>
      </w:r>
    </w:p>
    <w:p w14:paraId="73D6907B" w14:textId="16C1E7DA" w:rsidR="001E72C2" w:rsidRPr="004B066D" w:rsidRDefault="00BA3A69" w:rsidP="00BA3A69">
      <w:pPr>
        <w:pStyle w:val="a7"/>
        <w:numPr>
          <w:ilvl w:val="0"/>
          <w:numId w:val="1"/>
        </w:numPr>
        <w:suppressAutoHyphens/>
        <w:spacing w:after="200" w:line="240" w:lineRule="auto"/>
        <w:ind w:hanging="357"/>
        <w:rPr>
          <w:szCs w:val="24"/>
          <w:lang w:val="en-US"/>
        </w:rPr>
      </w:pPr>
      <w:proofErr w:type="spellStart"/>
      <w:r w:rsidRPr="00BA3A69">
        <w:rPr>
          <w:szCs w:val="24"/>
          <w:lang w:val="en-US"/>
        </w:rPr>
        <w:t>Hirjibehedin</w:t>
      </w:r>
      <w:proofErr w:type="spellEnd"/>
      <w:r w:rsidRPr="00BA3A69">
        <w:rPr>
          <w:szCs w:val="24"/>
          <w:lang w:val="en-US"/>
        </w:rPr>
        <w:t xml:space="preserve"> C. F. et al. Large magnetic anisotropy of a single atomic spin embedded in a surface molecular network //Science. – 2007. – </w:t>
      </w:r>
      <w:r>
        <w:rPr>
          <w:szCs w:val="24"/>
          <w:lang w:val="en-US"/>
        </w:rPr>
        <w:t>V</w:t>
      </w:r>
      <w:r w:rsidRPr="00BA3A69">
        <w:rPr>
          <w:szCs w:val="24"/>
          <w:lang w:val="en-US"/>
        </w:rPr>
        <w:t xml:space="preserve">. 317. – №. 5842. – </w:t>
      </w:r>
      <w:r>
        <w:rPr>
          <w:szCs w:val="24"/>
          <w:lang w:val="en-US"/>
        </w:rPr>
        <w:t>P</w:t>
      </w:r>
      <w:r w:rsidRPr="00BA3A69">
        <w:rPr>
          <w:szCs w:val="24"/>
          <w:lang w:val="en-US"/>
        </w:rPr>
        <w:t>. 1199-1203.</w:t>
      </w:r>
    </w:p>
    <w:p w14:paraId="0971B3CD" w14:textId="21DD013A" w:rsidR="001E72C2" w:rsidRPr="001F0267" w:rsidRDefault="006C061A" w:rsidP="006C061A">
      <w:pPr>
        <w:pStyle w:val="a7"/>
        <w:numPr>
          <w:ilvl w:val="0"/>
          <w:numId w:val="1"/>
        </w:numPr>
        <w:suppressAutoHyphens/>
        <w:spacing w:after="200" w:line="240" w:lineRule="auto"/>
        <w:ind w:hanging="357"/>
        <w:rPr>
          <w:szCs w:val="24"/>
          <w:lang w:val="en-US"/>
        </w:rPr>
      </w:pPr>
      <w:r w:rsidRPr="006C061A">
        <w:rPr>
          <w:szCs w:val="24"/>
          <w:lang w:val="en-US"/>
        </w:rPr>
        <w:t xml:space="preserve">Loth S. et al. </w:t>
      </w:r>
      <w:proofErr w:type="spellStart"/>
      <w:r w:rsidRPr="006C061A">
        <w:rPr>
          <w:szCs w:val="24"/>
          <w:lang w:val="en-US"/>
        </w:rPr>
        <w:t>Bistability</w:t>
      </w:r>
      <w:proofErr w:type="spellEnd"/>
      <w:r w:rsidRPr="006C061A">
        <w:rPr>
          <w:szCs w:val="24"/>
          <w:lang w:val="en-US"/>
        </w:rPr>
        <w:t xml:space="preserve"> in atomic-scale antiferromagnets //Science. – 2012. – </w:t>
      </w:r>
      <w:r>
        <w:rPr>
          <w:szCs w:val="24"/>
          <w:lang w:val="en-US"/>
        </w:rPr>
        <w:t>V</w:t>
      </w:r>
      <w:r w:rsidRPr="006C061A">
        <w:rPr>
          <w:szCs w:val="24"/>
          <w:lang w:val="en-US"/>
        </w:rPr>
        <w:t xml:space="preserve">. 335. – №. 6065. – </w:t>
      </w:r>
      <w:r>
        <w:rPr>
          <w:szCs w:val="24"/>
          <w:lang w:val="en-US"/>
        </w:rPr>
        <w:t>P</w:t>
      </w:r>
      <w:r w:rsidRPr="006C061A">
        <w:rPr>
          <w:szCs w:val="24"/>
          <w:lang w:val="en-US"/>
        </w:rPr>
        <w:t>. 196-199.</w:t>
      </w:r>
    </w:p>
    <w:p w14:paraId="6A0B6F59" w14:textId="27DB6013" w:rsidR="001E72C2" w:rsidRPr="004B066D" w:rsidRDefault="006C061A" w:rsidP="006C061A">
      <w:pPr>
        <w:pStyle w:val="a7"/>
        <w:numPr>
          <w:ilvl w:val="0"/>
          <w:numId w:val="1"/>
        </w:numPr>
        <w:suppressAutoHyphens/>
        <w:spacing w:after="200" w:line="240" w:lineRule="auto"/>
        <w:ind w:hanging="357"/>
        <w:rPr>
          <w:szCs w:val="24"/>
          <w:lang w:val="en-US"/>
        </w:rPr>
      </w:pPr>
      <w:r w:rsidRPr="006C061A">
        <w:rPr>
          <w:szCs w:val="24"/>
          <w:lang w:val="en-US"/>
        </w:rPr>
        <w:t>Ma X. D. et al. Strain relief guided growth of atomic nanowires in a Cu</w:t>
      </w:r>
      <w:r w:rsidRPr="006C061A">
        <w:rPr>
          <w:szCs w:val="24"/>
          <w:vertAlign w:val="subscript"/>
          <w:lang w:val="en-US"/>
        </w:rPr>
        <w:t>3</w:t>
      </w:r>
      <w:r w:rsidRPr="006C061A">
        <w:rPr>
          <w:szCs w:val="24"/>
          <w:lang w:val="en-US"/>
        </w:rPr>
        <w:t>N-</w:t>
      </w:r>
      <w:proofErr w:type="gramStart"/>
      <w:r w:rsidRPr="006C061A">
        <w:rPr>
          <w:szCs w:val="24"/>
          <w:lang w:val="en-US"/>
        </w:rPr>
        <w:t>Cu(</w:t>
      </w:r>
      <w:proofErr w:type="gramEnd"/>
      <w:r w:rsidRPr="006C061A">
        <w:rPr>
          <w:szCs w:val="24"/>
          <w:lang w:val="en-US"/>
        </w:rPr>
        <w:t xml:space="preserve">110) molecular network //Physical review letters. – 2009. – </w:t>
      </w:r>
      <w:r>
        <w:rPr>
          <w:szCs w:val="24"/>
          <w:lang w:val="en-US"/>
        </w:rPr>
        <w:t>V</w:t>
      </w:r>
      <w:r w:rsidRPr="006C061A">
        <w:rPr>
          <w:szCs w:val="24"/>
          <w:lang w:val="en-US"/>
        </w:rPr>
        <w:t xml:space="preserve">. 102. – №. 20. – </w:t>
      </w:r>
      <w:r>
        <w:rPr>
          <w:szCs w:val="24"/>
          <w:lang w:val="en-US"/>
        </w:rPr>
        <w:t>P</w:t>
      </w:r>
      <w:r w:rsidRPr="006C061A">
        <w:rPr>
          <w:szCs w:val="24"/>
          <w:lang w:val="en-US"/>
        </w:rPr>
        <w:t>. 205503.</w:t>
      </w:r>
    </w:p>
    <w:p w14:paraId="53BBAC28" w14:textId="3B076AA3" w:rsidR="001E72C2" w:rsidRPr="001F0267" w:rsidRDefault="006C061A" w:rsidP="006C061A">
      <w:pPr>
        <w:pStyle w:val="a7"/>
        <w:numPr>
          <w:ilvl w:val="0"/>
          <w:numId w:val="1"/>
        </w:numPr>
        <w:suppressAutoHyphens/>
        <w:spacing w:after="200" w:line="240" w:lineRule="auto"/>
        <w:ind w:hanging="357"/>
        <w:rPr>
          <w:szCs w:val="24"/>
          <w:lang w:val="en-US"/>
        </w:rPr>
      </w:pPr>
      <w:proofErr w:type="spellStart"/>
      <w:r w:rsidRPr="006C061A">
        <w:rPr>
          <w:szCs w:val="24"/>
          <w:lang w:val="en-US"/>
        </w:rPr>
        <w:t>Khajetoorians</w:t>
      </w:r>
      <w:proofErr w:type="spellEnd"/>
      <w:r w:rsidRPr="006C061A">
        <w:rPr>
          <w:szCs w:val="24"/>
          <w:lang w:val="en-US"/>
        </w:rPr>
        <w:t xml:space="preserve"> A. A. et al. Tailoring the chiral magnetic interaction between two individual atoms //Nature Communications. – 2016. – </w:t>
      </w:r>
      <w:r>
        <w:rPr>
          <w:szCs w:val="24"/>
          <w:lang w:val="en-US"/>
        </w:rPr>
        <w:t>V</w:t>
      </w:r>
      <w:r w:rsidRPr="006C061A">
        <w:rPr>
          <w:szCs w:val="24"/>
          <w:lang w:val="en-US"/>
        </w:rPr>
        <w:t xml:space="preserve">. 7. – №. 1. – </w:t>
      </w:r>
      <w:r>
        <w:rPr>
          <w:szCs w:val="24"/>
          <w:lang w:val="en-US"/>
        </w:rPr>
        <w:t>P</w:t>
      </w:r>
      <w:r w:rsidRPr="006C061A">
        <w:rPr>
          <w:szCs w:val="24"/>
          <w:lang w:val="en-US"/>
        </w:rPr>
        <w:t>. 10620.</w:t>
      </w:r>
    </w:p>
    <w:p w14:paraId="61C859EA" w14:textId="77777777" w:rsidR="001E72C2" w:rsidRPr="00482FB4" w:rsidRDefault="001E72C2" w:rsidP="001E72C2">
      <w:pPr>
        <w:rPr>
          <w:b/>
          <w:bCs/>
          <w:lang w:val="en-US"/>
        </w:rPr>
      </w:pPr>
    </w:p>
    <w:p w14:paraId="7551CFC8" w14:textId="77777777" w:rsidR="005A1943" w:rsidRPr="001E72C2" w:rsidRDefault="005A1943">
      <w:pPr>
        <w:rPr>
          <w:lang w:val="en-US"/>
        </w:rPr>
      </w:pPr>
    </w:p>
    <w:sectPr w:rsidR="005A1943" w:rsidRPr="001E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200D5"/>
    <w:multiLevelType w:val="hybridMultilevel"/>
    <w:tmpl w:val="F022E224"/>
    <w:lvl w:ilvl="0" w:tplc="3990BD84">
      <w:start w:val="1"/>
      <w:numFmt w:val="decimal"/>
      <w:lvlText w:val="%1."/>
      <w:lvlJc w:val="left"/>
      <w:pPr>
        <w:ind w:left="111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913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C2"/>
    <w:rsid w:val="001B2E98"/>
    <w:rsid w:val="001E72C2"/>
    <w:rsid w:val="00213435"/>
    <w:rsid w:val="00432093"/>
    <w:rsid w:val="00534E1B"/>
    <w:rsid w:val="00541550"/>
    <w:rsid w:val="005A1943"/>
    <w:rsid w:val="005E0330"/>
    <w:rsid w:val="006C061A"/>
    <w:rsid w:val="008327E6"/>
    <w:rsid w:val="00A61A41"/>
    <w:rsid w:val="00BA3A69"/>
    <w:rsid w:val="00C1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AD9"/>
  <w15:chartTrackingRefBased/>
  <w15:docId w15:val="{DA11C5E7-C9A3-4E13-A8E3-8E1FDA97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E72C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2C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2C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2C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2C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2C2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2C2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2C2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2C2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72C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1E72C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E72C2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E72C2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1E72C2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1E72C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1E72C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1E72C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1E72C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1E72C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1E72C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2C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E72C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2C2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1E72C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1E72C2"/>
    <w:pPr>
      <w:ind w:left="720"/>
      <w:contextualSpacing/>
    </w:pPr>
  </w:style>
  <w:style w:type="character" w:styleId="a8">
    <w:name w:val="Intense Emphasis"/>
    <w:uiPriority w:val="21"/>
    <w:qFormat/>
    <w:rsid w:val="001E72C2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1E72C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1E72C2"/>
    <w:rPr>
      <w:i/>
      <w:iCs/>
      <w:color w:val="2F5496"/>
    </w:rPr>
  </w:style>
  <w:style w:type="character" w:styleId="ab">
    <w:name w:val="Intense Reference"/>
    <w:uiPriority w:val="32"/>
    <w:qFormat/>
    <w:rsid w:val="001E72C2"/>
    <w:rPr>
      <w:b/>
      <w:bCs/>
      <w:smallCaps/>
      <w:color w:val="2F5496"/>
      <w:spacing w:val="5"/>
    </w:rPr>
  </w:style>
  <w:style w:type="character" w:styleId="ac">
    <w:name w:val="Emphasis"/>
    <w:uiPriority w:val="20"/>
    <w:qFormat/>
    <w:rsid w:val="001E7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Локтионов</dc:creator>
  <cp:keywords/>
  <dc:description/>
  <cp:lastModifiedBy>Игорь Локтионов</cp:lastModifiedBy>
  <cp:revision>2</cp:revision>
  <dcterms:created xsi:type="dcterms:W3CDTF">2025-03-09T20:45:00Z</dcterms:created>
  <dcterms:modified xsi:type="dcterms:W3CDTF">2025-03-09T20:45:00Z</dcterms:modified>
</cp:coreProperties>
</file>