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F6A0E">
      <w:pPr>
        <w:widowControl w:val="0"/>
        <w:autoSpaceDE w:val="0"/>
        <w:autoSpaceDN w:val="0"/>
        <w:adjustRightInd w:val="0"/>
        <w:spacing w:after="120"/>
        <w:jc w:val="center"/>
        <w:rPr>
          <w:rFonts w:hint="default" w:ascii="Times New Roman" w:hAnsi="Times New Roman"/>
          <w:i/>
          <w:iCs/>
          <w:sz w:val="22"/>
          <w:szCs w:val="22"/>
          <w:vertAlign w:val="superscript"/>
        </w:rPr>
      </w:pPr>
      <w:r>
        <w:rPr>
          <w:rFonts w:hint="default" w:ascii="Times New Roman" w:hAnsi="Times New Roman"/>
          <w:b/>
          <w:bCs/>
          <w:i w:val="0"/>
          <w:iCs w:val="0"/>
          <w:sz w:val="32"/>
          <w:szCs w:val="32"/>
          <w:vertAlign w:val="baseline"/>
        </w:rPr>
        <w:t>Гамма-кванты высоких энергий от Троянцев Нептуна</w:t>
      </w:r>
    </w:p>
    <w:p w14:paraId="7B41DA6E">
      <w:pPr>
        <w:widowControl w:val="0"/>
        <w:autoSpaceDE w:val="0"/>
        <w:autoSpaceDN w:val="0"/>
        <w:adjustRightInd w:val="0"/>
        <w:spacing w:after="120"/>
        <w:jc w:val="center"/>
        <w:rPr>
          <w:rFonts w:hint="default" w:ascii="Times New Roman" w:hAnsi="Times New Roman"/>
          <w:i/>
          <w:iCs/>
          <w:sz w:val="22"/>
          <w:szCs w:val="22"/>
          <w:vertAlign w:val="superscript"/>
        </w:rPr>
      </w:pPr>
      <w:r>
        <w:rPr>
          <w:rFonts w:hint="default" w:ascii="Times New Roman" w:hAnsi="Times New Roman"/>
          <w:i/>
          <w:iCs/>
          <w:sz w:val="22"/>
          <w:szCs w:val="22"/>
          <w:vertAlign w:val="baseline"/>
        </w:rPr>
        <w:t>Семенов А. А.</w:t>
      </w:r>
      <w:r>
        <w:rPr>
          <w:rFonts w:hint="default" w:ascii="Times New Roman" w:hAnsi="Times New Roman"/>
          <w:i/>
          <w:iCs/>
          <w:sz w:val="22"/>
          <w:szCs w:val="22"/>
          <w:vertAlign w:val="superscript"/>
          <w:lang w:val="ru-RU"/>
        </w:rPr>
        <w:t>1,2</w:t>
      </w:r>
      <w:r>
        <w:rPr>
          <w:rFonts w:hint="default" w:ascii="Times New Roman" w:hAnsi="Times New Roman"/>
          <w:i/>
          <w:iCs/>
          <w:sz w:val="22"/>
          <w:szCs w:val="22"/>
          <w:vertAlign w:val="baseline"/>
        </w:rPr>
        <w:t xml:space="preserve"> , Т. А. Джатдоев </w:t>
      </w:r>
      <w:r>
        <w:rPr>
          <w:rFonts w:hint="default" w:ascii="Times New Roman" w:hAnsi="Times New Roman"/>
          <w:i/>
          <w:iCs/>
          <w:sz w:val="22"/>
          <w:szCs w:val="22"/>
          <w:vertAlign w:val="superscript"/>
        </w:rPr>
        <w:t>2,3</w:t>
      </w:r>
    </w:p>
    <w:p w14:paraId="56CFFCB4">
      <w:pPr>
        <w:widowControl w:val="0"/>
        <w:autoSpaceDE w:val="0"/>
        <w:autoSpaceDN w:val="0"/>
        <w:adjustRightInd w:val="0"/>
        <w:spacing w:after="120"/>
        <w:jc w:val="center"/>
        <w:rPr>
          <w:rFonts w:hint="default" w:ascii="Times New Roman" w:hAnsi="Times New Roman"/>
          <w:i/>
          <w:iCs/>
          <w:sz w:val="22"/>
          <w:szCs w:val="22"/>
          <w:vertAlign w:val="superscript"/>
        </w:rPr>
      </w:pPr>
    </w:p>
    <w:p w14:paraId="3D9E29A5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</w:r>
      <w:r>
        <w:rPr>
          <w:rFonts w:ascii="Times New Roman" w:hAnsi="Times New Roman" w:cs="Times New Roman"/>
          <w:i/>
          <w:iCs/>
          <w:sz w:val="22"/>
          <w:szCs w:val="22"/>
        </w:rPr>
        <w:br w:type="textWrapping"/>
      </w:r>
      <w:r>
        <w:rPr>
          <w:rFonts w:ascii="Times New Roman" w:hAnsi="Times New Roman" w:cs="Times New Roman"/>
          <w:i/>
          <w:iCs/>
          <w:sz w:val="22"/>
          <w:szCs w:val="22"/>
        </w:rPr>
        <w:t>физический факультет, Москва, Россия,</w:t>
      </w:r>
      <w:r>
        <w:rPr>
          <w:rFonts w:ascii="Times New Roman" w:hAnsi="Times New Roman" w:cs="Times New Roman"/>
          <w:i/>
          <w:iCs/>
          <w:sz w:val="22"/>
          <w:szCs w:val="22"/>
        </w:rPr>
        <w:br w:type="textWrapping"/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  </w:t>
      </w:r>
      <w:r>
        <w:rPr>
          <w:rFonts w:ascii="Times New Roman" w:hAnsi="Times New Roman" w:cs="Times New Roman"/>
          <w:i/>
          <w:iCs/>
          <w:sz w:val="22"/>
          <w:szCs w:val="22"/>
        </w:rPr>
        <w:br w:type="textWrapping"/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Научно-исследовательский институт ядерной физики имени Д. В. Скобельцына, </w:t>
      </w:r>
      <w:r>
        <w:rPr>
          <w:rFonts w:ascii="Times New Roman" w:hAnsi="Times New Roman" w:cs="Times New Roman"/>
          <w:i/>
          <w:iCs/>
          <w:sz w:val="22"/>
          <w:szCs w:val="22"/>
        </w:rPr>
        <w:br w:type="textWrapping"/>
      </w:r>
      <w:r>
        <w:rPr>
          <w:rFonts w:ascii="Times New Roman" w:hAnsi="Times New Roman" w:cs="Times New Roman"/>
          <w:i/>
          <w:iCs/>
          <w:sz w:val="22"/>
          <w:szCs w:val="22"/>
        </w:rPr>
        <w:t>Москва, Россия</w:t>
      </w:r>
    </w:p>
    <w:p w14:paraId="14D7A4EF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2"/>
          <w:szCs w:val="22"/>
        </w:rPr>
        <w:t>Институт ядерных исследований Российской академии наук, Москва, Россия</w:t>
      </w:r>
    </w:p>
    <w:p w14:paraId="08000000">
      <w:pPr>
        <w:widowControl w:val="0"/>
        <w:autoSpaceDE w:val="0"/>
        <w:autoSpaceDN w:val="0"/>
        <w:adjustRightInd w:val="0"/>
        <w:spacing w:before="0" w:after="120" w:line="240" w:lineRule="auto"/>
        <w:ind w:left="0" w:right="0" w:firstLine="0"/>
        <w:jc w:val="center"/>
        <w:rPr>
          <w:rFonts w:ascii="Times New Roman" w:hAnsi="Times New Roman" w:cs="Times New Roman" w:eastAsiaTheme="minorEastAsia"/>
          <w:spacing w:val="0"/>
          <w:sz w:val="22"/>
          <w:szCs w:val="22"/>
          <w:lang w:val="en-US" w:eastAsia="ru-RU" w:bidi="ar-SA"/>
        </w:rPr>
      </w:pPr>
      <w:r>
        <w:rPr>
          <w:rFonts w:ascii="Times New Roman" w:hAnsi="Times New Roman" w:cs="Times New Roman" w:eastAsiaTheme="minorEastAsia"/>
          <w:spacing w:val="0"/>
          <w:sz w:val="22"/>
          <w:szCs w:val="22"/>
          <w:lang w:val="en-US" w:eastAsia="ru-RU" w:bidi="ar-SA"/>
        </w:rPr>
        <w:t>E–mail: bboytolayn12@gmail.com</w:t>
      </w:r>
    </w:p>
    <w:p w14:paraId="09000000">
      <w:pPr>
        <w:widowControl w:val="0"/>
        <w:autoSpaceDE w:val="0"/>
        <w:autoSpaceDN w:val="0"/>
        <w:adjustRightInd w:val="0"/>
        <w:spacing w:before="0" w:after="0" w:line="240" w:lineRule="auto"/>
        <w:ind w:left="0" w:right="0" w:firstLine="708"/>
        <w:jc w:val="both"/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  <w:t>Цель данной работы —– анализ гамма-излучения от Троянцев Нептуна.</w:t>
      </w:r>
    </w:p>
    <w:p w14:paraId="0A000000">
      <w:pPr>
        <w:widowControl w:val="0"/>
        <w:autoSpaceDE w:val="0"/>
        <w:autoSpaceDN w:val="0"/>
        <w:adjustRightInd w:val="0"/>
        <w:spacing w:before="0" w:after="0" w:line="240" w:lineRule="auto"/>
        <w:ind w:left="0" w:right="0" w:firstLine="708"/>
        <w:jc w:val="both"/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  <w:t>В своей работе я поставил верхние пределы на  спектральное распределение энергии (SED =</w:t>
      </w:r>
      <m:oMath>
        <m:sSup>
          <m:sSupPr>
            <m:ctrlPr>
              <w:rPr>
                <w:rFonts w:ascii="Cambria Math" w:hAnsi="Cambria Math" w:cs="Times New Roman" w:eastAsiaTheme="minorEastAsia"/>
                <w:color w:val="222222"/>
                <w:spacing w:val="-2"/>
                <w:sz w:val="24"/>
                <w:szCs w:val="24"/>
                <w:lang w:val="ru-RU" w:eastAsia="ru-RU" w:bidi="ar-S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 w:eastAsiaTheme="minorEastAsia"/>
                <w:color w:val="222222"/>
                <w:spacing w:val="-2"/>
                <w:sz w:val="24"/>
                <w:szCs w:val="24"/>
                <w:lang w:val="ru-RU" w:eastAsia="ru-RU" w:bidi="ar-SA"/>
              </w:rPr>
              <m:t>E</m:t>
            </m:r>
            <m:ctrlPr>
              <w:rPr>
                <w:rFonts w:ascii="Cambria Math" w:hAnsi="Cambria Math" w:cs="Times New Roman" w:eastAsiaTheme="minorEastAsia"/>
                <w:color w:val="222222"/>
                <w:spacing w:val="-2"/>
                <w:sz w:val="24"/>
                <w:szCs w:val="24"/>
                <w:lang w:val="ru-RU" w:eastAsia="ru-RU" w:bidi="ar-SA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 w:eastAsiaTheme="minorEastAsia"/>
                <w:color w:val="222222"/>
                <w:spacing w:val="-2"/>
                <w:sz w:val="24"/>
                <w:szCs w:val="24"/>
                <w:lang w:val="ru-RU" w:eastAsia="ru-RU" w:bidi="ar-SA"/>
              </w:rPr>
              <m:t>2</m:t>
            </m:r>
            <m:ctrlPr>
              <w:rPr>
                <w:rFonts w:ascii="Cambria Math" w:hAnsi="Cambria Math" w:cs="Times New Roman" w:eastAsiaTheme="minorEastAsia"/>
                <w:color w:val="222222"/>
                <w:spacing w:val="-2"/>
                <w:sz w:val="24"/>
                <w:szCs w:val="24"/>
                <w:lang w:val="ru-RU" w:eastAsia="ru-RU" w:bidi="ar-SA"/>
              </w:rPr>
            </m:ctrlPr>
          </m:sup>
        </m:sSup>
        <m:r>
          <m:rPr>
            <m:sty m:val="p"/>
          </m:rPr>
          <w:rPr>
            <w:rFonts w:ascii="Cambria Math" w:hAnsi="Cambria Math" w:cs="Times New Roman" w:eastAsiaTheme="minorEastAsia"/>
            <w:color w:val="222222"/>
            <w:spacing w:val="-2"/>
            <w:sz w:val="24"/>
            <w:szCs w:val="24"/>
            <w:lang w:val="ru-RU" w:eastAsia="ru-RU" w:bidi="ar-SA"/>
          </w:rPr>
          <m:t>dN/dE</m:t>
        </m:r>
      </m:oMath>
      <w:r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  <w:t>) от Троянцев Нептуна (Рисунок 1.) .</w:t>
      </w:r>
    </w:p>
    <w:p w14:paraId="0B000000">
      <w:pPr>
        <w:widowControl w:val="0"/>
        <w:autoSpaceDE w:val="0"/>
        <w:autoSpaceDN w:val="0"/>
        <w:adjustRightInd w:val="0"/>
        <w:spacing w:before="0" w:after="0" w:line="240" w:lineRule="auto"/>
        <w:ind w:left="0" w:right="0" w:firstLine="708"/>
        <w:jc w:val="both"/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  <w:t>Троянцы Нептуна представляют собой группу астероидов на расстоянии 30 а.е. от Солнца. Оптический цвет Троянцев в основном более синий, чем медианные значения для астероидов из пояса Койпера. Они движутся по орбите Нептуна в области точек Лагранжа 4, 5.</w:t>
      </w:r>
    </w:p>
    <w:p w14:paraId="0C000000">
      <w:pPr>
        <w:widowControl w:val="0"/>
        <w:autoSpaceDE w:val="0"/>
        <w:autoSpaceDN w:val="0"/>
        <w:adjustRightInd w:val="0"/>
        <w:spacing w:before="0" w:after="0" w:line="240" w:lineRule="auto"/>
        <w:ind w:left="0" w:right="0" w:firstLine="708"/>
        <w:jc w:val="both"/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  <w:t>Имеют угловой радиус 15 градусов и занимают область пространства похожую на диск</w:t>
      </w:r>
      <w:r>
        <w:rPr>
          <w:rFonts w:hint="default" w:ascii="Times New Roman" w:hAnsi="Times New Roman" w:cs="Times New Roman"/>
          <w:color w:val="222222"/>
          <w:spacing w:val="-2"/>
          <w:sz w:val="24"/>
          <w:szCs w:val="24"/>
          <w:lang w:val="en-US" w:eastAsia="ru-RU" w:bidi="ar-SA"/>
        </w:rPr>
        <w:t>.</w:t>
      </w:r>
      <w:r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  <w:t xml:space="preserve"> Троянские астероиды Нептуна можно представить как группу камней, образовавшихся если бы Нептун размололи на небольшие осколки, при этом масса остается такой же, а эффективкая площадь увеличивается, поэтому поток высоко-энергетических гамма-квантов от Троянцев будет выше, чем от Нептуна.  </w:t>
      </w:r>
    </w:p>
    <w:p w14:paraId="0D000000">
      <w:pPr>
        <w:widowControl w:val="0"/>
        <w:autoSpaceDE w:val="0"/>
        <w:autoSpaceDN w:val="0"/>
        <w:adjustRightInd w:val="0"/>
        <w:spacing w:before="0" w:after="0" w:line="240" w:lineRule="auto"/>
        <w:ind w:left="0" w:right="0" w:firstLine="708"/>
        <w:jc w:val="both"/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  <w:t>Гамма-кванты от Троянцев Нептуна будут рождаться в результате p-p взаимодействий. В объектах с размером меньше 1 метра каскад, образованный взаимодействием КЛ(Космических лучей) с веществом астероида, не затухнет полностью. Образование гамма-квантов на объектах с размерами меньше 1 метра сродни взаимодействию КЛ с одним ядром, где величина образовавшегося потока гамма-квантов линейно возрастает от количества провзаимодействовавших ядер. В таком случае спектр гамма-квантов будет жестче, чем в случае взаимодействия КЛ с единичным &lt;&lt;широким&gt;&gt; объектом. Полный спектр от альбедо гамма-квантов с энергией &lt; 1 ГэВ от Троянцев будет зависеть от плотности расположения астероидов.</w:t>
      </w:r>
    </w:p>
    <w:p w14:paraId="11B501B3">
      <w:pPr>
        <w:widowControl w:val="0"/>
        <w:autoSpaceDE w:val="0"/>
        <w:autoSpaceDN w:val="0"/>
        <w:adjustRightInd w:val="0"/>
        <w:spacing w:before="0" w:after="0" w:line="240" w:lineRule="auto"/>
        <w:ind w:left="0" w:right="0" w:firstLine="708"/>
        <w:jc w:val="both"/>
        <w:rPr>
          <w:rFonts w:hint="default" w:ascii="Times New Roman" w:hAnsi="Times New Roman" w:cs="Times New Roman"/>
          <w:color w:val="222222"/>
          <w:spacing w:val="-2"/>
          <w:sz w:val="24"/>
          <w:szCs w:val="24"/>
          <w:lang w:val="en-US" w:eastAsia="ru-RU" w:bidi="ar-SA"/>
        </w:rPr>
      </w:pPr>
      <w:r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  <w:t>Спектр гамма-излучения Троянцев чувствителен к распределению Троянцев по радиусу.</w:t>
      </w:r>
      <w:r>
        <w:rPr>
          <w:rFonts w:hint="default" w:ascii="Times New Roman" w:hAnsi="Times New Roman" w:cs="Times New Roman"/>
          <w:color w:val="222222"/>
          <w:spacing w:val="-2"/>
          <w:sz w:val="24"/>
          <w:szCs w:val="24"/>
          <w:lang w:val="en-US" w:eastAsia="ru-RU" w:bidi="ar-SA"/>
        </w:rPr>
        <w:t xml:space="preserve"> В своей работе я так же изучаю при каком размере астероида будут оптимально рождаться и испускаться гамма-кванты высоких энергий.</w:t>
      </w:r>
    </w:p>
    <w:p w14:paraId="0E000000">
      <w:pPr>
        <w:widowControl w:val="0"/>
        <w:autoSpaceDE w:val="0"/>
        <w:autoSpaceDN w:val="0"/>
        <w:adjustRightInd w:val="0"/>
        <w:spacing w:before="0" w:after="0" w:line="240" w:lineRule="auto"/>
        <w:ind w:left="0" w:right="0"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ru-RU" w:bidi="ar-SA"/>
        </w:rPr>
        <w:t xml:space="preserve"> Поставленные верхние пределы на спектральное распределение энергий от </w:t>
      </w:r>
      <w:r>
        <w:rPr>
          <w:rFonts w:ascii="Times New Roman" w:hAnsi="Times New Roman"/>
          <w:sz w:val="24"/>
          <w:highlight w:val="white"/>
        </w:rPr>
        <w:t>Троянцев Нептуна позволяет оценить их общую массу.</w:t>
      </w:r>
    </w:p>
    <w:p w14:paraId="5917319F">
      <w:pPr>
        <w:spacing w:after="160" w:line="259" w:lineRule="auto"/>
        <w:ind w:firstLine="708"/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drawing>
          <wp:inline distT="0" distB="0" distL="114300" distR="114300">
            <wp:extent cx="3423285" cy="2494280"/>
            <wp:effectExtent l="0" t="0" r="5715" b="1270"/>
            <wp:docPr id="2" name="Изображение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328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FE9B2">
      <w:pPr>
        <w:ind w:firstLine="708"/>
        <w:jc w:val="center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i/>
          <w:sz w:val="20"/>
        </w:rPr>
        <w:t xml:space="preserve">Рис.1 </w:t>
      </w:r>
      <w:r>
        <w:rPr>
          <w:rFonts w:ascii="Times New Roman" w:hAnsi="Times New Roman" w:cs="Times New Roman"/>
          <w:i/>
          <w:sz w:val="20"/>
          <w:lang w:val="ru-RU"/>
        </w:rPr>
        <w:t>Верхние</w:t>
      </w:r>
      <w:r>
        <w:rPr>
          <w:rFonts w:hint="default" w:ascii="Times New Roman" w:hAnsi="Times New Roman" w:cs="Times New Roman"/>
          <w:i/>
          <w:sz w:val="20"/>
          <w:lang w:val="ru-RU"/>
        </w:rPr>
        <w:t xml:space="preserve"> пределы на </w:t>
      </w:r>
      <w:r>
        <w:rPr>
          <w:rFonts w:hint="default" w:ascii="Times New Roman" w:hAnsi="Times New Roman" w:cs="Times New Roman"/>
          <w:i/>
          <w:sz w:val="20"/>
          <w:lang w:val="en-US"/>
        </w:rPr>
        <w:t>SED(</w:t>
      </w:r>
      <w:r>
        <w:rPr>
          <w:rFonts w:hint="default" w:ascii="Times New Roman" w:hAnsi="Times New Roman" w:cs="Times New Roman"/>
          <w:i/>
          <w:sz w:val="20"/>
          <w:lang w:val="ru-RU"/>
        </w:rPr>
        <w:t xml:space="preserve">спектральное распределение энергии </w:t>
      </w:r>
      <w:r>
        <w:rPr>
          <w:rFonts w:hint="default" w:ascii="Times New Roman" w:hAnsi="Times New Roman" w:cs="Times New Roman"/>
          <w:i/>
          <w:sz w:val="20"/>
          <w:lang w:val="en-US"/>
        </w:rPr>
        <w:t>)</w:t>
      </w:r>
      <w:r>
        <w:rPr>
          <w:rFonts w:hint="default" w:ascii="Times New Roman" w:hAnsi="Times New Roman" w:cs="Times New Roman"/>
          <w:i/>
          <w:sz w:val="20"/>
          <w:lang w:val="ru-RU"/>
        </w:rPr>
        <w:t xml:space="preserve"> от Троянцев Нептуна, с исключением времени экспозиции, когда </w:t>
      </w:r>
      <w:r>
        <w:rPr>
          <w:rFonts w:hint="default" w:ascii="Times New Roman" w:hAnsi="Times New Roman" w:cs="Times New Roman"/>
          <w:i/>
          <w:sz w:val="20"/>
          <w:lang w:val="en-US"/>
        </w:rPr>
        <w:t>ROI</w:t>
      </w:r>
      <w:r>
        <w:rPr>
          <w:rFonts w:hint="default" w:ascii="Times New Roman" w:hAnsi="Times New Roman" w:cs="Times New Roman"/>
          <w:i/>
          <w:sz w:val="20"/>
          <w:lang w:val="ru-RU"/>
        </w:rPr>
        <w:t xml:space="preserve"> находится ближе чем на 5 градусов к положению Солнца.</w:t>
      </w:r>
    </w:p>
    <w:p w14:paraId="4CE69D5B">
      <w:pPr>
        <w:widowControl w:val="0"/>
        <w:autoSpaceDE w:val="0"/>
        <w:autoSpaceDN w:val="0"/>
        <w:adjustRightInd w:val="0"/>
        <w:spacing w:before="0" w:after="0" w:line="240" w:lineRule="auto"/>
        <w:ind w:left="0" w:right="0" w:firstLine="708"/>
        <w:jc w:val="both"/>
        <w:rPr>
          <w:rFonts w:hint="default"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 w:eastAsiaTheme="minorEastAsia"/>
          <w:color w:val="222222"/>
          <w:spacing w:val="-2"/>
          <w:sz w:val="24"/>
          <w:szCs w:val="24"/>
          <w:lang w:val="ru-RU" w:eastAsia="en-US" w:bidi="ar-SA"/>
        </w:rPr>
        <w:t>Так же было смоделировано взаимодействие космических лучей(КЛ) с астероидами разных радиусов( от 10 см до 10 м), чтобы определить, при каком радиусе астроида достигается оптимальный режим генерации гамма-излучения (Рис.2). Моделирование было проведено на Geant4. В нашей модели астероиды - это сферические объекты с химическим составом, близким к Лунному ( 59 % кислорода, 4,5 % магния, 4 % алюминия, 15 % кремния, 5,5 % кальция, 1 % титана, 11 % железа) плотность - 1,8 г/см^3. Взаимодействующие КЛ - это протоны со спектральным индексом -2.7 и в диапазоне энергий от 100 МэВ до 100 ГэВ. В результате при малых радиусах доля провзаимодействовавших первичных частиц существенно меньше 1, поэтому интенсивность гамма-квантов сравнительно маленькая. Оптимальные размеры астероида для генерации гамма-квантов оказались с радиусом 50-100 см. При таком размере значительная доля первичных частиц взаимодействует, но значительная доля каскадных частиц гамма-квантов все еще не поглощается. При больших радиусах (1.3-10 м) значительная доля каскадных частиц гамма-квантов поглощается.</w:t>
      </w:r>
    </w:p>
    <w:p w14:paraId="3440DD17">
      <w:pPr>
        <w:spacing w:after="160" w:line="259" w:lineRule="auto"/>
        <w:ind w:firstLine="708"/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drawing>
          <wp:inline distT="0" distB="0" distL="114300" distR="114300">
            <wp:extent cx="2968625" cy="2409825"/>
            <wp:effectExtent l="0" t="0" r="3175" b="9525"/>
            <wp:docPr id="3" name="Изображение 3" descr="SED_aste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SED_asteroi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F5333">
      <w:pPr>
        <w:ind w:firstLine="708"/>
        <w:jc w:val="center"/>
        <w:rPr>
          <w:rFonts w:hint="default" w:ascii="Times New Roman" w:hAnsi="Times New Roman" w:cs="Times New Roman" w:eastAsiaTheme="minorHAnsi"/>
          <w:i/>
          <w:sz w:val="20"/>
          <w:szCs w:val="28"/>
          <w:lang w:val="ru-RU" w:eastAsia="en-US"/>
        </w:rPr>
      </w:pPr>
      <w:r>
        <w:rPr>
          <w:rFonts w:ascii="Times New Roman" w:hAnsi="Times New Roman" w:cs="Times New Roman"/>
          <w:i/>
          <w:sz w:val="20"/>
        </w:rPr>
        <w:t>Рис.</w:t>
      </w:r>
      <w:r>
        <w:rPr>
          <w:rFonts w:hint="default" w:ascii="Times New Roman" w:hAnsi="Times New Roman" w:cs="Times New Roman"/>
          <w:i/>
          <w:sz w:val="20"/>
          <w:lang w:val="ru-RU"/>
        </w:rPr>
        <w:t xml:space="preserve">2 </w:t>
      </w:r>
      <w:r>
        <w:rPr>
          <w:rFonts w:hint="default" w:ascii="Times New Roman" w:hAnsi="Times New Roman"/>
          <w:i/>
          <w:sz w:val="20"/>
        </w:rPr>
        <w:t xml:space="preserve">Взаимодействие протонов в диапазоне энергий от 100 МэВ до 100 ГэВ с одиночным астероидом. Мы опробовали различные </w:t>
      </w:r>
      <w:r>
        <w:rPr>
          <w:rFonts w:hint="default" w:ascii="Times New Roman" w:hAnsi="Times New Roman"/>
          <w:i/>
          <w:sz w:val="20"/>
          <w:lang w:val="ru-RU"/>
        </w:rPr>
        <w:t xml:space="preserve">радиусы </w:t>
      </w:r>
      <w:r>
        <w:rPr>
          <w:rFonts w:hint="default" w:ascii="Times New Roman" w:hAnsi="Times New Roman"/>
          <w:i/>
          <w:sz w:val="20"/>
        </w:rPr>
        <w:t xml:space="preserve">от 10 см до 10 м. Как показано на рисунке, оптимальный диапазон </w:t>
      </w:r>
      <w:r>
        <w:rPr>
          <w:rFonts w:hint="default" w:ascii="Times New Roman" w:hAnsi="Times New Roman"/>
          <w:i/>
          <w:sz w:val="20"/>
          <w:lang w:val="ru-RU"/>
        </w:rPr>
        <w:t xml:space="preserve">радиусов </w:t>
      </w:r>
      <w:r>
        <w:rPr>
          <w:rFonts w:hint="default" w:ascii="Times New Roman" w:hAnsi="Times New Roman"/>
          <w:i/>
          <w:sz w:val="20"/>
        </w:rPr>
        <w:t>для генерации гамма-квантов составляет от 50 см до 1 м.</w:t>
      </w:r>
    </w:p>
    <w:p w14:paraId="59881A9C">
      <w:pPr>
        <w:spacing w:after="160" w:line="259" w:lineRule="auto"/>
        <w:ind w:firstLine="708"/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</w:p>
    <w:p w14:paraId="35BA7018">
      <w:pPr>
        <w:spacing w:after="160" w:line="259" w:lineRule="auto"/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6DE"/>
    <w:rsid w:val="06C402FF"/>
    <w:rsid w:val="095D6702"/>
    <w:rsid w:val="180338AB"/>
    <w:rsid w:val="2D20266F"/>
    <w:rsid w:val="4B7A0D0D"/>
    <w:rsid w:val="7341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333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2024-11-19T16:06:00Z</dcterms:created>
  <dc:creator>StolekKkLoL</dc:creator>
  <cp:lastModifiedBy>Анатолий Анатольевич Семенов</cp:lastModifiedBy>
  <dcterms:modified xsi:type="dcterms:W3CDTF">2025-03-02T17:52:28Z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37CE5181D9EA40A9A3BCF2A53D77DD94_13</vt:lpwstr>
  </property>
</Properties>
</file>