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Отбор входных признаков при решении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задачи прогнозирования потоков заряженных частиц на круговой полярной орбите</w:t>
      </w:r>
    </w:p>
    <w:p>
      <w:pPr>
        <w:pStyle w:val="Normal.0"/>
        <w:spacing w:after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Белова А</w:t>
      </w:r>
      <w:r>
        <w:rPr>
          <w:b w:val="1"/>
          <w:bCs w:val="1"/>
          <w:i w:val="1"/>
          <w:iCs w:val="1"/>
          <w:rtl w:val="0"/>
          <w:lang w:val="ru-RU"/>
        </w:rPr>
        <w:t>.</w:t>
      </w:r>
      <w:r>
        <w:rPr>
          <w:b w:val="1"/>
          <w:bCs w:val="1"/>
          <w:i w:val="1"/>
          <w:iCs w:val="1"/>
          <w:rtl w:val="0"/>
          <w:lang w:val="ru-RU"/>
        </w:rPr>
        <w:t>О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Normal.0"/>
        <w:spacing w:after="0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Студент</w:t>
      </w:r>
    </w:p>
    <w:p>
      <w:pPr>
        <w:pStyle w:val="Normal.0"/>
        <w:spacing w:after="0"/>
        <w:jc w:val="center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МГУ имени М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В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 Ломоносова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Физический факультет</w:t>
      </w:r>
      <w:r>
        <w:rPr>
          <w:i w:val="1"/>
          <w:iCs w:val="1"/>
          <w:rtl w:val="0"/>
          <w:lang w:val="en-US"/>
        </w:rPr>
        <w:t>,</w:t>
      </w:r>
      <w:r>
        <w:rPr>
          <w:i w:val="1"/>
          <w:iCs w:val="1"/>
          <w:rtl w:val="0"/>
          <w:lang w:val="ru-RU"/>
        </w:rPr>
        <w:t xml:space="preserve"> г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 Москва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Россия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i w:val="1"/>
          <w:iCs w:val="1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i w:val="1"/>
          <w:iCs w:val="1"/>
          <w:u w:color="000000"/>
          <w:rtl w:val="0"/>
          <w:lang w:val="ru-RU"/>
        </w:rPr>
        <w:t>belova.ao20@physics.msu.ru</w:t>
      </w:r>
    </w:p>
    <w:p>
      <w:pPr>
        <w:pStyle w:val="Normal.0"/>
        <w:spacing w:after="0"/>
      </w:pPr>
      <w:r>
        <w:rPr>
          <w:i w:val="1"/>
          <w:iCs w:val="1"/>
          <w:lang w:val="ru-RU"/>
        </w:rPr>
        <w:br w:type="textWrapping"/>
      </w:r>
      <w:r>
        <w:rPr>
          <w:rtl w:val="0"/>
          <w:lang w:val="ru-RU"/>
        </w:rPr>
        <w:t xml:space="preserve">            Как известно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радиационные условия в околоземном космическом пространстве при отсутствии солнечной активности в значительной мере определяются потоками заряженных частиц в радиационных поясах Земли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Попадание в зоны с большим потоком заряженных частиц может негативно сказаться на технике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установленной на борту космического аппарата </w:t>
      </w:r>
      <w:r>
        <w:rPr>
          <w:rtl w:val="0"/>
          <w:lang w:val="pt-PT"/>
        </w:rPr>
        <w:t xml:space="preserve">[1,2]. </w:t>
      </w:r>
      <w:r>
        <w:rPr>
          <w:rtl w:val="0"/>
          <w:lang w:val="ru-RU"/>
        </w:rPr>
        <w:t xml:space="preserve">При этом внешний радиационный пояс Земли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РПЗ</w:t>
      </w:r>
      <w:r>
        <w:rPr>
          <w:rtl w:val="0"/>
          <w:lang w:val="de-DE"/>
        </w:rPr>
        <w:t xml:space="preserve">)  </w:t>
      </w:r>
      <w:r>
        <w:rPr>
          <w:rtl w:val="0"/>
          <w:lang w:val="ru-RU"/>
        </w:rPr>
        <w:t xml:space="preserve">может претерпевать сильные и быстрые вариации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примерно после половины магнитных бурь поток релятивистских электронов внешнего РПЗ увеличивается на порядок и более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делает задачу прогнозирования потоков электронов внешнего РПЗ  весьма актуальной </w:t>
      </w:r>
      <w:r>
        <w:rPr>
          <w:rtl w:val="0"/>
          <w:lang w:val="pt-PT"/>
        </w:rPr>
        <w:t xml:space="preserve">[3] . </w:t>
        <w:tab/>
      </w:r>
    </w:p>
    <w:p>
      <w:pPr>
        <w:pStyle w:val="Normal.0"/>
        <w:spacing w:after="0"/>
        <w:ind w:firstLine="1"/>
      </w:pPr>
      <w:r>
        <w:rPr>
          <w:rtl w:val="0"/>
        </w:rPr>
        <w:tab/>
        <w:t>В ходе данной работы использовались данные низкоорбитального полярного спутника «МЕТЕОР</w:t>
      </w:r>
      <w:r>
        <w:rPr>
          <w:rtl w:val="0"/>
          <w:lang w:val="ru-RU"/>
        </w:rPr>
        <w:t>-M</w:t>
      </w:r>
      <w:r>
        <w:rPr>
          <w:rtl w:val="0"/>
          <w:lang w:val="ru-RU"/>
        </w:rPr>
        <w:t>» №</w:t>
      </w:r>
      <w:r>
        <w:rPr>
          <w:rtl w:val="0"/>
          <w:lang w:val="ru-RU"/>
        </w:rPr>
        <w:t>2 (</w:t>
      </w:r>
      <w:r>
        <w:rPr>
          <w:rtl w:val="0"/>
          <w:lang w:val="ru-RU"/>
        </w:rPr>
        <w:t xml:space="preserve">запущен </w:t>
      </w:r>
      <w:r>
        <w:rPr>
          <w:rtl w:val="0"/>
          <w:lang w:val="ru-RU"/>
        </w:rPr>
        <w:t xml:space="preserve">08.07.2014) </w:t>
      </w:r>
      <w:r>
        <w:rPr>
          <w:rtl w:val="0"/>
          <w:lang w:val="ru-RU"/>
        </w:rPr>
        <w:t xml:space="preserve">за период  с </w:t>
      </w:r>
      <w:r>
        <w:rPr>
          <w:rtl w:val="0"/>
          <w:lang w:val="ru-RU"/>
        </w:rPr>
        <w:t xml:space="preserve">01.06.2019 00:10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01.03.2020 00:00. </w:t>
      </w:r>
      <w:r>
        <w:rPr>
          <w:rtl w:val="0"/>
          <w:lang w:val="ru-RU"/>
        </w:rPr>
        <w:t>Орбита спутника «МЕТЕОР</w:t>
      </w:r>
      <w:r>
        <w:rPr>
          <w:rtl w:val="0"/>
          <w:lang w:val="ru-RU"/>
        </w:rPr>
        <w:t>-M</w:t>
      </w:r>
      <w:r>
        <w:rPr>
          <w:rtl w:val="0"/>
          <w:lang w:val="ru-RU"/>
        </w:rPr>
        <w:t>» №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>солнечно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синхронная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высота в восходящем узле </w:t>
      </w:r>
      <w:r>
        <w:rPr>
          <w:rtl w:val="0"/>
          <w:lang w:val="ru-RU"/>
        </w:rPr>
        <w:t xml:space="preserve">h=832 </w:t>
      </w:r>
      <w:r>
        <w:rPr>
          <w:rtl w:val="0"/>
          <w:lang w:val="ru-RU"/>
        </w:rPr>
        <w:t>км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наклонение </w:t>
      </w:r>
      <w:r>
        <w:rPr>
          <w:rtl w:val="0"/>
          <w:lang w:val="ru-RU"/>
        </w:rPr>
        <w:t>i~98,8</w:t>
      </w:r>
      <w:r>
        <w:rPr>
          <w:rtl w:val="0"/>
          <w:lang w:val="ru-RU"/>
        </w:rPr>
        <w:t>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период обращения Т</w:t>
      </w:r>
      <w:r>
        <w:rPr>
          <w:rtl w:val="0"/>
          <w:lang w:val="ru-RU"/>
        </w:rPr>
        <w:t xml:space="preserve">=101,3 </w:t>
      </w:r>
      <w:r>
        <w:rPr>
          <w:rtl w:val="0"/>
          <w:lang w:val="ru-RU"/>
        </w:rPr>
        <w:t>мин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есть за один виток спутник пересекал внешний РПЗ четыре раза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Электроны релятивистских и субрелятивистских энергий </w:t>
      </w:r>
      <w:r>
        <w:rPr>
          <w:rtl w:val="0"/>
          <w:lang w:val="ru-RU"/>
        </w:rPr>
        <w:t xml:space="preserve">- &gt;100 </w:t>
      </w:r>
      <w:r>
        <w:rPr>
          <w:rtl w:val="0"/>
          <w:lang w:val="ru-RU"/>
        </w:rPr>
        <w:t>кэВ</w:t>
      </w:r>
      <w:r>
        <w:rPr>
          <w:rtl w:val="0"/>
          <w:lang w:val="ru-RU"/>
        </w:rPr>
        <w:t xml:space="preserve">, &gt;300 </w:t>
      </w:r>
      <w:r>
        <w:rPr>
          <w:rtl w:val="0"/>
          <w:lang w:val="ru-RU"/>
        </w:rPr>
        <w:t>кэВ</w:t>
      </w:r>
      <w:r>
        <w:rPr>
          <w:rtl w:val="0"/>
          <w:lang w:val="ru-RU"/>
        </w:rPr>
        <w:t xml:space="preserve">, &gt;700 </w:t>
      </w:r>
      <w:r>
        <w:rPr>
          <w:rtl w:val="0"/>
          <w:lang w:val="ru-RU"/>
        </w:rPr>
        <w:t xml:space="preserve">кэВ и </w:t>
      </w:r>
      <w:r>
        <w:rPr>
          <w:rtl w:val="0"/>
          <w:lang w:val="ru-RU"/>
        </w:rPr>
        <w:t xml:space="preserve">&gt;2 </w:t>
      </w:r>
      <w:r>
        <w:rPr>
          <w:rtl w:val="0"/>
          <w:lang w:val="ru-RU"/>
        </w:rPr>
        <w:t xml:space="preserve">МэВ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регистрировались с помощью полупроводниковых и сцинтилляционного детекторов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спутнике «МЕТЕОР</w:t>
      </w:r>
      <w:r>
        <w:rPr>
          <w:rtl w:val="0"/>
          <w:lang w:val="ru-RU"/>
        </w:rPr>
        <w:t>-M</w:t>
      </w:r>
      <w:r>
        <w:rPr>
          <w:rtl w:val="0"/>
          <w:lang w:val="ru-RU"/>
        </w:rPr>
        <w:t>» №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было установлено два набора телескопов с углами обзора в </w:t>
      </w:r>
      <w:r>
        <w:rPr>
          <w:rtl w:val="0"/>
          <w:lang w:val="ru-RU"/>
        </w:rPr>
        <w:t>30</w:t>
      </w:r>
      <w:r>
        <w:rPr>
          <w:rtl w:val="0"/>
          <w:lang w:val="ru-RU"/>
        </w:rPr>
        <w:t>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регистрировавшие потоки захваченных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направление детектора перпендикулярно силовым линиям магнитного поля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 высыпающихся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вдоль силовых линий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частиц</w:t>
      </w:r>
      <w:r>
        <w:rPr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В работе приведен анализ потоков электронов с энергиями </w:t>
      </w:r>
      <w:r>
        <w:rPr>
          <w:rFonts w:ascii="Times New Roman" w:hAnsi="Times New Roman"/>
          <w:rtl w:val="0"/>
        </w:rPr>
        <w:t>&gt;0.7, &gt;2</w:t>
      </w:r>
      <w:r>
        <w:rPr>
          <w:rFonts w:ascii="Times New Roman" w:hAnsi="Times New Roman" w:hint="default"/>
          <w:rtl w:val="0"/>
          <w:lang w:val="ru-RU"/>
        </w:rPr>
        <w:t xml:space="preserve"> МэВ внешнего радиационного пояса Земли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ВРПЗ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на круговой</w:t>
      </w:r>
      <w:r>
        <w:rPr>
          <w:rFonts w:ascii="Times New Roman" w:hAnsi="Times New Roman" w:hint="default"/>
          <w:rtl w:val="0"/>
          <w:lang w:val="ru-RU"/>
        </w:rPr>
        <w:t xml:space="preserve"> полярной орбите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Исследована связь вариаций логарифма интегральных и максимальных потоков электронов за сутки ВРПЗ на </w:t>
      </w:r>
      <w:r>
        <w:rPr>
          <w:rFonts w:ascii="Times New Roman" w:hAnsi="Times New Roman" w:hint="default"/>
          <w:rtl w:val="0"/>
        </w:rPr>
        <w:t>низкой полярной орбите с параметрами солнечного ветра 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межпланетного магнитного поля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 геомагнитными индексами и логарифмом потока электронов ВРПЗ на геостационарной орбите с целью отбора оптимальных входных параметров при прогнозировании потоков электронов на низких полярных орбитах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необходимого для обеспечения будущих космических миссий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 xml:space="preserve">Получены прогнозы с горизонтом в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</w:rPr>
        <w:t xml:space="preserve">2 </w:t>
      </w:r>
      <w:r>
        <w:rPr>
          <w:rFonts w:ascii="Times New Roman" w:hAnsi="Times New Roman" w:hint="default"/>
          <w:rtl w:val="0"/>
        </w:rPr>
        <w:t xml:space="preserve">дня на интервале в </w:t>
      </w:r>
      <w:r>
        <w:rPr>
          <w:rFonts w:ascii="Times New Roman" w:hAnsi="Times New Roman"/>
          <w:rtl w:val="0"/>
          <w:lang w:val="ru-RU"/>
        </w:rPr>
        <w:t>2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месяца для максимальных и интегральных потоков за сутки на основе линейной регрессии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after="0"/>
        <w:ind w:firstLine="624"/>
      </w:pPr>
    </w:p>
    <w:p>
      <w:pPr>
        <w:pStyle w:val="Normal.0"/>
        <w:spacing w:after="0"/>
        <w:ind w:firstLine="624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Белов 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Виллорези Дж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>Дорман Л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др</w:t>
      </w:r>
      <w:r>
        <w:rPr>
          <w:rtl w:val="0"/>
          <w:lang w:val="ru-RU"/>
        </w:rPr>
        <w:t xml:space="preserve">., </w:t>
      </w:r>
      <w:r>
        <w:rPr>
          <w:rtl w:val="0"/>
          <w:lang w:val="ru-RU"/>
        </w:rPr>
        <w:t xml:space="preserve">Влияние космической среды на функционирование искусственных спутников Земли </w:t>
      </w:r>
      <w:r>
        <w:rPr>
          <w:rtl w:val="0"/>
          <w:lang w:val="ru-RU"/>
        </w:rPr>
        <w:t xml:space="preserve">// </w:t>
      </w:r>
      <w:r>
        <w:rPr>
          <w:rtl w:val="0"/>
          <w:lang w:val="ru-RU"/>
        </w:rPr>
        <w:t>Геомагнетизм и аэрономия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 xml:space="preserve">2004. </w:t>
      </w:r>
      <w:r>
        <w:rPr>
          <w:rtl w:val="0"/>
          <w:lang w:val="ru-RU"/>
        </w:rPr>
        <w:t>Т</w:t>
      </w:r>
      <w:r>
        <w:rPr>
          <w:rtl w:val="0"/>
          <w:lang w:val="en-US"/>
        </w:rPr>
        <w:t xml:space="preserve">. 44. </w:t>
      </w:r>
      <w:r>
        <w:rPr>
          <w:rtl w:val="0"/>
          <w:lang w:val="en-US"/>
        </w:rPr>
        <w:t xml:space="preserve">№ </w:t>
      </w:r>
      <w:r>
        <w:rPr>
          <w:rtl w:val="0"/>
          <w:lang w:val="en-US"/>
        </w:rPr>
        <w:t xml:space="preserve">4. </w:t>
      </w:r>
      <w:r>
        <w:rPr>
          <w:rtl w:val="0"/>
          <w:lang w:val="ru-RU"/>
        </w:rPr>
        <w:t>С</w:t>
      </w:r>
      <w:r>
        <w:rPr>
          <w:rtl w:val="0"/>
          <w:lang w:val="en-US"/>
        </w:rPr>
        <w:t>. 502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510. 2004.</w:t>
      </w:r>
    </w:p>
    <w:p>
      <w:pPr>
        <w:pStyle w:val="Normal.0"/>
        <w:spacing w:after="0"/>
        <w:ind w:firstLine="62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 xml:space="preserve">2. Iucci N., Leviti, A.E., Belov A.V., Space weather conditions and spacecraft anomalies in different orbits // Space Weather. </w:t>
      </w:r>
      <w:r>
        <w:rPr>
          <w:rtl w:val="0"/>
          <w:lang w:val="ru-RU"/>
        </w:rPr>
        <w:t xml:space="preserve">2005. V. 3. </w:t>
      </w:r>
      <w:r>
        <w:rPr>
          <w:rtl w:val="0"/>
          <w:lang w:val="en-US"/>
        </w:rPr>
        <w:t>№</w:t>
      </w:r>
      <w:r>
        <w:rPr>
          <w:rtl w:val="0"/>
          <w:lang w:val="en-US"/>
        </w:rPr>
        <w:t xml:space="preserve">1. </w:t>
      </w:r>
      <w:r>
        <w:rPr>
          <w:rtl w:val="0"/>
          <w:lang w:val="ru-RU"/>
        </w:rPr>
        <w:t>Р</w:t>
      </w:r>
      <w:r>
        <w:rPr>
          <w:rtl w:val="0"/>
          <w:lang w:val="en-US"/>
        </w:rPr>
        <w:t xml:space="preserve">. S01001. doi: 10.1029/2003SW000056 </w:t>
      </w:r>
    </w:p>
    <w:p>
      <w:pPr>
        <w:pStyle w:val="Normal.0"/>
        <w:spacing w:after="0"/>
        <w:ind w:firstLine="624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 Pires de Lima R., Chen Y., Lin Y., Forecasting megaelectron-volt electrons inside Earth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outer radiation belt: PreMevE 2.0 based on supervised machine learning algorithms // Space Weather. 2020. V 18(2). e2019SW002399. doi:10.1029/2019SW002399 </w:t>
      </w:r>
    </w:p>
    <w:sectPr>
      <w:headerReference w:type="default" r:id="rId4"/>
      <w:footerReference w:type="default" r:id="rId5"/>
      <w:pgSz w:w="11900" w:h="16840" w:orient="portrait"/>
      <w:pgMar w:top="1134" w:right="1361" w:bottom="1259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