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364" w:leader="none"/>
        </w:tabs>
        <w:ind w:left="0" w:right="0" w:hanging="0"/>
        <w:jc w:val="center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ru-RU" w:bidi="ar-SA"/>
        </w:rPr>
        <w:t>С</w:t>
      </w:r>
      <w:r>
        <w:rPr>
          <w:b/>
          <w:bCs/>
          <w:color w:val="000000"/>
          <w:shd w:fill="FFFFFF" w:val="clear"/>
        </w:rPr>
        <w:t>пектр диффузного гамма-излучения галактического диска в области очень высоких и сверхвысоких энергий</w:t>
      </w:r>
    </w:p>
    <w:p>
      <w:pPr>
        <w:pStyle w:val="Normal"/>
        <w:ind w:left="0" w:right="0" w:firstLine="426"/>
        <w:jc w:val="center"/>
        <w:rPr/>
      </w:pPr>
      <w:r>
        <w:rPr>
          <w:rStyle w:val="Style14"/>
          <w:b/>
          <w:bCs/>
          <w:color w:val="000000"/>
          <w:shd w:fill="FFFFFF" w:val="clear"/>
        </w:rPr>
        <w:t>Наумов</w:t>
      </w:r>
      <w:r>
        <w:rPr>
          <w:rStyle w:val="Style14"/>
          <w:rFonts w:eastAsia="Times New Roman" w:cs="Times New Roman"/>
          <w:b/>
          <w:bCs/>
          <w:i/>
          <w:iCs/>
          <w:color w:val="000000"/>
          <w:sz w:val="24"/>
          <w:szCs w:val="24"/>
          <w:shd w:fill="FFFFFF" w:val="clear"/>
          <w:lang w:val="ru-RU" w:bidi="ar-SA"/>
        </w:rPr>
        <w:t xml:space="preserve"> </w:t>
      </w:r>
      <w:r>
        <w:rPr>
          <w:rStyle w:val="Style14"/>
          <w:b/>
          <w:bCs/>
          <w:color w:val="000000"/>
          <w:shd w:fill="FFFFFF" w:val="clear"/>
        </w:rPr>
        <w:t>В.А.</w:t>
      </w:r>
    </w:p>
    <w:p>
      <w:pPr>
        <w:pStyle w:val="Normal"/>
        <w:ind w:left="0" w:right="0" w:firstLine="426"/>
        <w:jc w:val="center"/>
        <w:rPr/>
      </w:pPr>
      <w:r>
        <w:rPr>
          <w:rStyle w:val="Style14"/>
          <w:color w:val="000000"/>
          <w:shd w:fill="FFFFFF" w:val="clear"/>
        </w:rPr>
        <w:t>студент</w:t>
      </w:r>
    </w:p>
    <w:p>
      <w:pPr>
        <w:pStyle w:val="Normal"/>
        <w:spacing w:before="0" w:after="200"/>
        <w:ind w:left="0" w:right="0" w:firstLine="426"/>
        <w:jc w:val="center"/>
        <w:rPr/>
      </w:pPr>
      <w:r>
        <w:rPr>
          <w:rStyle w:val="Style14"/>
          <w:color w:val="000000"/>
          <w:shd w:fill="FFFFFF" w:val="clear"/>
        </w:rPr>
        <w:t>Московский государственный университет имени М.В.Ломоносова,</w:t>
      </w:r>
      <w:r>
        <w:rPr>
          <w:rStyle w:val="Appleconvertedspace"/>
          <w:i/>
          <w:iCs/>
          <w:color w:val="000000"/>
          <w:shd w:fill="FFFFFF" w:val="clear"/>
        </w:rPr>
        <w:t> </w:t>
      </w:r>
      <w:r>
        <w:rPr>
          <w:i/>
          <w:iCs/>
          <w:color w:val="000000"/>
          <w:shd w:fill="FFFFFF" w:val="clear"/>
        </w:rPr>
        <w:br/>
      </w:r>
      <w:r>
        <w:rPr>
          <w:rStyle w:val="Style14"/>
          <w:color w:val="000000"/>
          <w:shd w:fill="FFFFFF" w:val="clear"/>
        </w:rPr>
        <w:t>физический факультет, Москва, Россия</w:t>
      </w:r>
      <w:r>
        <w:rPr>
          <w:i/>
          <w:iCs/>
          <w:color w:val="000000"/>
          <w:shd w:fill="FFFFFF" w:val="clear"/>
        </w:rPr>
        <w:br/>
      </w:r>
      <w:r>
        <w:rPr>
          <w:rStyle w:val="Style14"/>
          <w:color w:val="000000"/>
          <w:shd w:fill="FFFFFF" w:val="clear"/>
        </w:rPr>
        <w:t>E–mail</w:t>
      </w:r>
      <w:r>
        <w:rPr>
          <w:rStyle w:val="Style14"/>
          <w:i w:val="false"/>
          <w:color w:val="000000"/>
          <w:shd w:fill="FFFFFF" w:val="clear"/>
        </w:rPr>
        <w:t xml:space="preserve">: </w:t>
      </w:r>
      <w:r>
        <w:rPr>
          <w:rStyle w:val="Style14"/>
          <w:rFonts w:eastAsia="Times New Roman" w:cs="Times New Roman"/>
          <w:i/>
          <w:iCs/>
          <w:color w:val="000000"/>
          <w:sz w:val="24"/>
          <w:szCs w:val="24"/>
          <w:shd w:fill="FFFFFF" w:val="clear"/>
          <w:lang w:val="en-US" w:bidi="ar-SA"/>
        </w:rPr>
        <w:t>naumov.va20@physics.msu.ru</w:t>
      </w:r>
    </w:p>
    <w:p>
      <w:pPr>
        <w:pStyle w:val="Normal"/>
        <w:ind w:left="0" w:right="0" w:hanging="0"/>
        <w:jc w:val="left"/>
        <w:rPr/>
      </w:pPr>
      <w:r>
        <w:rPr>
          <w:rFonts w:eastAsia="Times New Roman" w:cs="Times New Roman"/>
          <w:iCs/>
          <w:color w:val="auto"/>
          <w:sz w:val="24"/>
          <w:szCs w:val="24"/>
          <w:lang w:val="en-US" w:bidi="ar-SA"/>
        </w:rPr>
        <w:t xml:space="preserve">Наблюдение диффузного </w:t>
      </w:r>
      <w:r>
        <w:rPr>
          <w:iCs/>
          <w:lang w:val="en-US"/>
        </w:rPr>
        <w:t xml:space="preserve">галактического гамма-излучения (galactic diffuse </w:t>
      </w:r>
      <w:r>
        <w:rPr>
          <w:rFonts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γ-ray emission, GDGE</w:t>
      </w:r>
      <w:r>
        <w:rPr>
          <w:iCs/>
          <w:lang w:val="en-US"/>
        </w:rPr>
        <w:t xml:space="preserve">), возникающего главным образом в результате взаимодействия космических лучей (КЛ) с межзвездной средой и/или фотонным полем, является очень важным методом изучения распределения, распространения и взаимодействия КЛ в Млечном Пути. </w:t>
      </w:r>
      <w:r>
        <w:rPr>
          <w:rFonts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Диффузное гамма-излучение галактического диска в области энергий от 100 ТэВ до 1 ПэВ было впервые обнаружено в эксперименте Tibet-ASγ [1]; более точные измерения спектра GDGE были проведены в эксперименте LHAASO [2]. </w:t>
      </w:r>
      <w:r>
        <w:rPr>
          <w:rFonts w:cs="Times new Roman"/>
          <w:b w:val="false"/>
          <w:i w:val="false"/>
          <w:iCs/>
          <w:caps w:val="false"/>
          <w:smallCaps w:val="false"/>
          <w:color w:val="222222"/>
          <w:spacing w:val="0"/>
          <w:sz w:val="24"/>
          <w:szCs w:val="24"/>
          <w:lang w:val="en-US"/>
        </w:rPr>
        <w:t>При измерении спектра GDGE вклад разрешенных дискретных источников исключается с помощью маскировки, однако неразрешённые дискретные источники вносят некоторый вклад в спектр GDGE, измеренный в экспериментах Tibet-ASγ и LHAASO.</w:t>
      </w:r>
    </w:p>
    <w:p>
      <w:pPr>
        <w:pStyle w:val="Normal"/>
        <w:ind w:left="0" w:right="0" w:hanging="0"/>
        <w:jc w:val="left"/>
        <w:rPr/>
      </w:pPr>
      <w:r>
        <w:rPr>
          <w:rFonts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Таким образом,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гамма-кванты,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образующиеся после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взаимодействи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я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КЛ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с межзвёздной средой и/или фотонным полем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, 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излучение ансамбля неразрешенных источников и изотропная компонента от внегалактических источников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образуют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поток д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иффузного гамма-излучения 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[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3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]</w:t>
      </w:r>
      <w:r>
        <w:rPr>
          <w:rFonts w:cs="DejaVu Sans Condensed" w:ascii="DejaVu Sans Condensed" w:hAnsi="DejaVu Sans Condensed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.</w:t>
      </w:r>
    </w:p>
    <w:p>
      <w:pPr>
        <w:pStyle w:val="Normal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1205865</wp:posOffset>
            </wp:positionH>
            <wp:positionV relativeFrom="paragraph">
              <wp:posOffset>53340</wp:posOffset>
            </wp:positionV>
            <wp:extent cx="3310255" cy="3384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09" r="672" b="6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0" w:hanging="0"/>
        <w:jc w:val="left"/>
        <w:rPr>
          <w:color w:val="000000"/>
          <w:spacing w:val="-30"/>
          <w:kern w:val="2"/>
          <w:szCs w:val="32"/>
        </w:rPr>
      </w:pPr>
      <w:r>
        <w:rPr>
          <w:iCs/>
          <w:lang w:val="en-US"/>
        </w:rPr>
        <w:t xml:space="preserve"> </w:t>
      </w:r>
      <w:r>
        <w:fldChar w:fldCharType="begin"/>
      </w:r>
      <w:r>
        <w:rPr>
          <w:iCs/>
          <w:lang w:val="en-US"/>
        </w:rPr>
        <w:instrText>QUOTE _x005F_x0001_</w:instrText>
      </w:r>
      <w:r>
        <w:rPr>
          <w:iCs/>
          <w:lang w:val="en-US"/>
        </w:rPr>
      </w:r>
      <w:r>
        <w:rPr>
          <w:iCs/>
          <w:lang w:val="en-US"/>
        </w:rPr>
        <w:fldChar w:fldCharType="separate"/>
      </w:r>
      <w:r>
        <w:rPr>
          <w:iCs/>
          <w:lang w:val="en-US"/>
        </w:rPr>
      </w:r>
      <w:r>
        <w:rPr>
          <w:iCs/>
          <w:lang w:val="en-US"/>
        </w:rPr>
      </w:r>
      <w:r>
        <w:rPr>
          <w:iCs/>
          <w:lang w:val="en-US"/>
        </w:rPr>
        <w:fldChar w:fldCharType="end"/>
      </w:r>
    </w:p>
    <w:p>
      <w:pPr>
        <w:pStyle w:val="Normal"/>
        <w:ind w:left="0" w:right="0" w:hanging="0"/>
        <w:jc w:val="left"/>
        <w:rPr>
          <w:color w:val="000000"/>
          <w:spacing w:val="-30"/>
          <w:kern w:val="2"/>
          <w:szCs w:val="32"/>
          <w:lang w:val="en-US"/>
        </w:rPr>
      </w:pPr>
      <w:r>
        <w:rPr>
          <w:color w:val="000000"/>
          <w:spacing w:val="-30"/>
          <w:kern w:val="2"/>
          <w:szCs w:val="32"/>
          <w:lang w:val="en-US"/>
        </w:rPr>
        <w:t xml:space="preserve"> </w:t>
      </w:r>
    </w:p>
    <w:p>
      <w:pPr>
        <w:pStyle w:val="Normal"/>
        <w:rPr/>
      </w:pPr>
      <w:r>
        <w:rPr>
          <w:lang w:val="en-US"/>
        </w:rPr>
        <w:t>Выделяя большое число разрешённых источников и тем самым уменьшая количество неразрешённых и пренебрегая вкладом внегалактических источников, мы можем считать, что спектр диффузного гамма-излучения в плоскост</w:t>
      </w:r>
      <w:r>
        <w:rPr>
          <w:rFonts w:eastAsia="Times New Roman" w:cs="Times New Roman"/>
          <w:color w:val="auto"/>
          <w:sz w:val="24"/>
          <w:szCs w:val="24"/>
          <w:lang w:val="en-US" w:bidi="ar-SA"/>
        </w:rPr>
        <w:t>и</w:t>
      </w:r>
      <w:r>
        <w:rPr>
          <w:lang w:val="en-US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en-US" w:eastAsia="zh-CN" w:bidi="ar-SA"/>
        </w:rPr>
        <w:t>Г</w:t>
      </w:r>
      <w:r>
        <w:rPr>
          <w:lang w:val="en-US"/>
        </w:rPr>
        <w:t xml:space="preserve">алактики является исключительно продуктом взаимодействия КЛ с межзвёздным веществом. На основе спектра протонов из работы [4] с использованием модели концентрации газа в этой же работе и моделей полного и дифференциального сечений из работы [5] был получен модельный спектр GDGE с точностью до нормировки для внутренней (15° &lt; l &lt; 125°, b &lt; 5°) и внешней областей галактики (125° &lt; l &lt; 235°, b &lt; 5°).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lang w:val="en-US"/>
        </w:rPr>
        <w:t xml:space="preserve">Измерения спектра GDGE детектором LHAASO-KM2A были проведены в этих областях галактического диска; статистическая значимость регистрации сигнала составляет 29.1σ и 12.7σ, соответственно. Используя нормировку из работы [4], </w:t>
      </w:r>
      <w:r>
        <w:rPr>
          <w:color w:val="000000"/>
          <w:lang w:val="en-US"/>
        </w:rPr>
        <w:t>мы сравнили измерения диффузного излучения LHAASO с предсказаниями модели.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0" w:right="0" w:hanging="0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Normal"/>
        <w:ind w:left="0" w:right="0" w:hanging="0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Normal"/>
        <w:ind w:left="0" w:right="0" w:hanging="0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Normal"/>
        <w:ind w:left="0" w:right="0" w:hanging="0"/>
        <w:jc w:val="center"/>
        <w:rPr/>
      </w:pPr>
      <w:r>
        <w:rPr>
          <w:b/>
          <w:color w:val="000000"/>
          <w:highlight w:val="white"/>
        </w:rPr>
        <w:t>Литература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>M. Amenomori et al., Phys. Rev. Lett., 126, 141101 (2021)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rFonts w:eastAsia="Times New Roman" w:cs="Times New Roman"/>
          <w:b w:val="false"/>
          <w:bCs w:val="false"/>
          <w:color w:val="000000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hd w:fill="FFFFFF" w:val="clear"/>
        </w:rPr>
        <w:t>Z. Cao et al., Phys. Rev. Lett., 131, 151001 (2023)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S. Vernetto &amp; P. Lipari, astro-ph/2502.08733 (2025)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P. Lipari &amp; S. Vernetto, Phys. Rev. D, 98, 043003 (2018)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S.R. Kelner et al., Phys. Rev. D, 74, 034018 (2006)</w:t>
      </w:r>
    </w:p>
    <w:sectPr>
      <w:footerReference w:type="default" r:id="rId3"/>
      <w:type w:val="nextPage"/>
      <w:pgSz w:w="11906" w:h="16838"/>
      <w:pgMar w:left="1361" w:right="1361" w:header="0" w:top="1134" w:footer="709" w:bottom="124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DejaVu Sans Condense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smallCaps w:val="false"/>
        <w:caps w:val="false"/>
        <w:sz w:val="24"/>
        <w:spacing w:val="0"/>
        <w:i w:val="false"/>
        <w:b w:val="false"/>
        <w:szCs w:val="24"/>
        <w:bCs w:val="false"/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>
      <w:start w:val="1"/>
      <w:numFmt w:val="decimal"/>
      <w:lvlText w:val="%3."/>
      <w:lvlJc w:val="left"/>
      <w:pPr>
        <w:tabs>
          <w:tab w:val="num" w:pos="1926"/>
        </w:tabs>
        <w:ind w:left="1926" w:hanging="36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360"/>
      </w:pPr>
    </w:lvl>
    <w:lvl w:ilvl="4">
      <w:start w:val="1"/>
      <w:numFmt w:val="decimal"/>
      <w:lvlText w:val="%5."/>
      <w:lvlJc w:val="left"/>
      <w:pPr>
        <w:tabs>
          <w:tab w:val="num" w:pos="2646"/>
        </w:tabs>
        <w:ind w:left="2646" w:hanging="360"/>
      </w:pPr>
    </w:lvl>
    <w:lvl w:ilvl="5">
      <w:start w:val="1"/>
      <w:numFmt w:val="decimal"/>
      <w:lvlText w:val="%6."/>
      <w:lvlJc w:val="left"/>
      <w:pPr>
        <w:tabs>
          <w:tab w:val="num" w:pos="3006"/>
        </w:tabs>
        <w:ind w:left="3006" w:hanging="36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360"/>
      </w:pPr>
    </w:lvl>
    <w:lvl w:ilvl="7">
      <w:start w:val="1"/>
      <w:numFmt w:val="decimal"/>
      <w:lvlText w:val="%8."/>
      <w:lvlJc w:val="left"/>
      <w:pPr>
        <w:tabs>
          <w:tab w:val="num" w:pos="3726"/>
        </w:tabs>
        <w:ind w:left="3726" w:hanging="360"/>
      </w:pPr>
    </w:lvl>
    <w:lvl w:ilvl="8">
      <w:start w:val="1"/>
      <w:numFmt w:val="decimal"/>
      <w:lvlText w:val="%9."/>
      <w:lvlJc w:val="left"/>
      <w:pPr>
        <w:tabs>
          <w:tab w:val="num" w:pos="4086"/>
        </w:tabs>
        <w:ind w:left="4086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isplayBackgroundShape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spacing w:lineRule="auto" w:line="360" w:before="0" w:after="120"/>
      <w:ind w:left="0" w:right="0" w:firstLine="709"/>
      <w:jc w:val="center"/>
      <w:outlineLvl w:val="1"/>
    </w:pPr>
    <w:rPr>
      <w:b/>
      <w:bCs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color w:val="00000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3">
    <w:name w:val="Основной шрифт абзаца"/>
    <w:qFormat/>
    <w:rPr/>
  </w:style>
  <w:style w:type="character" w:styleId="Style14">
    <w:name w:val="Выделение"/>
    <w:qFormat/>
    <w:rPr>
      <w:i/>
      <w:iCs/>
    </w:rPr>
  </w:style>
  <w:style w:type="character" w:styleId="Appleconvertedspace">
    <w:name w:val="apple-converted-space"/>
    <w:basedOn w:val="Style13"/>
    <w:qFormat/>
    <w:rPr/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styleId="21">
    <w:name w:val="Заголовок 2 Знак"/>
    <w:qFormat/>
    <w:rPr>
      <w:b/>
      <w:bCs/>
      <w:iCs/>
      <w:sz w:val="28"/>
      <w:szCs w:val="28"/>
      <w:lang w:val="ru-RU" w:bidi="ar-SA"/>
    </w:rPr>
  </w:style>
  <w:style w:type="character" w:styleId="Style17">
    <w:name w:val="Номер страницы"/>
    <w:basedOn w:val="Style13"/>
    <w:rPr/>
  </w:style>
  <w:style w:type="character" w:styleId="Style18">
    <w:name w:val="Замещающий текст"/>
    <w:qFormat/>
    <w:rPr>
      <w:color w:val="808080"/>
    </w:rPr>
  </w:style>
  <w:style w:type="character" w:styleId="Style1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0">
    <w:name w:val="Верхний колонтитул Знак"/>
    <w:basedOn w:val="Style13"/>
    <w:qFormat/>
    <w:rPr>
      <w:sz w:val="24"/>
      <w:szCs w:val="24"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8">
    <w:name w:val="Обычный (веб)"/>
    <w:basedOn w:val="Normal"/>
    <w:qFormat/>
    <w:pPr>
      <w:spacing w:before="280" w:after="280"/>
    </w:pPr>
    <w:rPr/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Footer"/>
    <w:basedOn w:val="Normal"/>
    <w:pPr/>
    <w:rPr/>
  </w:style>
  <w:style w:type="paragraph" w:styleId="Style31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LibreOffice/6.4.7.2$Linux_X86_64 LibreOffice_project/40$Build-2</Application>
  <Pages>2</Pages>
  <Words>333</Words>
  <Characters>2159</Characters>
  <CharactersWithSpaces>2474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2018-02-06T10:23:00Z</dcterms:created>
  <dc:creator>PR</dc:creator>
  <dc:description/>
  <dc:language>ru-RU</dc:language>
  <cp:lastModifiedBy/>
  <dcterms:modified xsi:type="dcterms:W3CDTF">2025-03-01T12:36:51Z</dcterms:modified>
  <cp:revision>12</cp:revision>
  <dc:subject/>
  <dc:title>Особенности акустического поля мощных фазированных решеток для неинвазивной ультразвуковой хирургии</dc:title>
</cp:coreProperties>
</file>