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ABA70" w14:textId="7353D413" w:rsidR="000C4BB8" w:rsidRPr="00415325" w:rsidRDefault="004B72FF" w:rsidP="000C4BB8">
      <w:pPr>
        <w:pStyle w:val="docdata"/>
        <w:spacing w:before="0" w:beforeAutospacing="0" w:after="0" w:afterAutospacing="0"/>
        <w:ind w:firstLine="426"/>
        <w:jc w:val="center"/>
        <w:rPr>
          <w:b/>
          <w:bCs/>
        </w:rPr>
      </w:pPr>
      <w:r>
        <w:rPr>
          <w:b/>
          <w:bCs/>
        </w:rPr>
        <w:t>Исследование</w:t>
      </w:r>
      <w:r w:rsidR="00415325">
        <w:rPr>
          <w:b/>
          <w:bCs/>
        </w:rPr>
        <w:t xml:space="preserve"> распад</w:t>
      </w:r>
      <w:r>
        <w:rPr>
          <w:b/>
          <w:bCs/>
        </w:rPr>
        <w:t>ов</w:t>
      </w:r>
      <w:r w:rsidR="00415325">
        <w:rPr>
          <w:b/>
          <w:bCs/>
        </w:rPr>
        <w:t xml:space="preserve"> </w:t>
      </w:r>
      <w:r w:rsidR="00415325">
        <w:rPr>
          <w:b/>
          <w:bCs/>
          <w:lang w:val="en-GB"/>
        </w:rPr>
        <w:t>B</w:t>
      </w:r>
      <w:r w:rsidR="00415325" w:rsidRPr="00415325">
        <w:rPr>
          <w:b/>
          <w:bCs/>
        </w:rPr>
        <w:t>-</w:t>
      </w:r>
      <w:r w:rsidR="00415325">
        <w:rPr>
          <w:b/>
          <w:bCs/>
        </w:rPr>
        <w:t xml:space="preserve">мезонов </w:t>
      </w:r>
      <w:r w:rsidR="001F20C6">
        <w:rPr>
          <w:b/>
          <w:bCs/>
        </w:rPr>
        <w:t>для</w:t>
      </w:r>
      <w:r>
        <w:rPr>
          <w:b/>
          <w:bCs/>
        </w:rPr>
        <w:t xml:space="preserve"> проверк</w:t>
      </w:r>
      <w:r w:rsidR="001F20C6">
        <w:rPr>
          <w:b/>
          <w:bCs/>
        </w:rPr>
        <w:t>и</w:t>
      </w:r>
      <w:r>
        <w:rPr>
          <w:b/>
          <w:bCs/>
        </w:rPr>
        <w:t xml:space="preserve"> моделей тёмной материи со скалярным медиатором</w:t>
      </w:r>
    </w:p>
    <w:p w14:paraId="00AF2313" w14:textId="77777777" w:rsidR="000C4BB8" w:rsidRDefault="000C4BB8" w:rsidP="000C4BB8">
      <w:pPr>
        <w:pStyle w:val="ac"/>
        <w:spacing w:before="0" w:beforeAutospacing="0" w:after="0" w:afterAutospacing="0"/>
        <w:ind w:firstLine="426"/>
        <w:jc w:val="center"/>
      </w:pPr>
      <w:r>
        <w:rPr>
          <w:b/>
          <w:bCs/>
          <w:i/>
          <w:iCs/>
          <w:color w:val="000000"/>
          <w:shd w:val="clear" w:color="auto" w:fill="FFFFFF"/>
        </w:rPr>
        <w:t>Суранович И.В.</w:t>
      </w:r>
    </w:p>
    <w:p w14:paraId="59E12ED9" w14:textId="77777777" w:rsidR="000C4BB8" w:rsidRDefault="000C4BB8" w:rsidP="000C4BB8">
      <w:pPr>
        <w:pStyle w:val="ac"/>
        <w:spacing w:before="0" w:beforeAutospacing="0" w:after="0" w:afterAutospacing="0"/>
        <w:ind w:firstLine="426"/>
        <w:jc w:val="center"/>
      </w:pPr>
      <w:r>
        <w:rPr>
          <w:i/>
          <w:iCs/>
          <w:color w:val="000000"/>
          <w:shd w:val="clear" w:color="auto" w:fill="FFFFFF"/>
        </w:rPr>
        <w:t>студент</w:t>
      </w:r>
    </w:p>
    <w:p w14:paraId="2ECF1559" w14:textId="77777777" w:rsidR="000C4BB8" w:rsidRDefault="000C4BB8" w:rsidP="000C4BB8">
      <w:pPr>
        <w:pStyle w:val="ac"/>
        <w:spacing w:before="0" w:beforeAutospacing="0" w:after="200" w:afterAutospacing="0"/>
        <w:ind w:firstLine="426"/>
        <w:jc w:val="center"/>
        <w:rPr>
          <w:i/>
          <w:iCs/>
          <w:color w:val="000000"/>
          <w:shd w:val="clear" w:color="auto" w:fill="FFFFFF"/>
        </w:rPr>
      </w:pPr>
      <w:r>
        <w:rPr>
          <w:i/>
          <w:iCs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>
        <w:rPr>
          <w:i/>
          <w:iCs/>
          <w:color w:val="000000"/>
          <w:shd w:val="clear" w:color="auto" w:fill="FFFFFF"/>
        </w:rPr>
        <w:t>М.В.Ломоносова</w:t>
      </w:r>
      <w:proofErr w:type="spellEnd"/>
      <w:r>
        <w:rPr>
          <w:i/>
          <w:iCs/>
          <w:color w:val="000000"/>
          <w:shd w:val="clear" w:color="auto" w:fill="FFFFFF"/>
        </w:rPr>
        <w:t>, </w:t>
      </w:r>
      <w:r>
        <w:rPr>
          <w:i/>
          <w:iCs/>
          <w:color w:val="000000"/>
          <w:shd w:val="clear" w:color="auto" w:fill="FFFFFF"/>
        </w:rPr>
        <w:br/>
        <w:t> физический факультет, Москва, Россия</w:t>
      </w:r>
      <w:r>
        <w:rPr>
          <w:i/>
          <w:iCs/>
          <w:color w:val="000000"/>
          <w:shd w:val="clear" w:color="auto" w:fill="FFFFFF"/>
        </w:rPr>
        <w:br/>
        <w:t> E–</w:t>
      </w:r>
      <w:proofErr w:type="spellStart"/>
      <w:r>
        <w:rPr>
          <w:i/>
          <w:iCs/>
          <w:color w:val="000000"/>
          <w:shd w:val="clear" w:color="auto" w:fill="FFFFFF"/>
        </w:rPr>
        <w:t>mail</w:t>
      </w:r>
      <w:proofErr w:type="spellEnd"/>
      <w:r>
        <w:rPr>
          <w:color w:val="000000"/>
          <w:shd w:val="clear" w:color="auto" w:fill="FFFFFF"/>
        </w:rPr>
        <w:t xml:space="preserve">: </w:t>
      </w:r>
      <w:r>
        <w:rPr>
          <w:i/>
          <w:iCs/>
          <w:color w:val="000000"/>
          <w:shd w:val="clear" w:color="auto" w:fill="FFFFFF"/>
        </w:rPr>
        <w:t>suranovich.iv20@physics.msu.ru</w:t>
      </w:r>
    </w:p>
    <w:p w14:paraId="39783C27" w14:textId="031B9CD6" w:rsidR="0028630F" w:rsidRDefault="0028630F" w:rsidP="0028630F">
      <w:pPr>
        <w:pStyle w:val="ac"/>
        <w:spacing w:after="200"/>
        <w:ind w:firstLine="426"/>
        <w:jc w:val="both"/>
      </w:pPr>
      <w:r>
        <w:t>Астрофизические наблюдения дают основания предполагать, что темная материя существует, однако ее состав и природа по-прежнему неизвестны</w:t>
      </w:r>
      <w:r>
        <w:t>.</w:t>
      </w:r>
      <w:r w:rsidR="00A73DD0">
        <w:t xml:space="preserve"> Несмотря на длительную историю</w:t>
      </w:r>
      <w:r w:rsidR="00EB73D9">
        <w:t xml:space="preserve"> активных</w:t>
      </w:r>
      <w:r w:rsidR="00A73DD0">
        <w:t xml:space="preserve"> поисков </w:t>
      </w:r>
      <w:r w:rsidR="00EB73D9">
        <w:t>гипотетических частиц темной материи, до настоящего момента такие частицы</w:t>
      </w:r>
      <w:r w:rsidR="00BE1AC0">
        <w:t xml:space="preserve"> непосредственно</w:t>
      </w:r>
      <w:r w:rsidR="00EB73D9">
        <w:t xml:space="preserve"> о</w:t>
      </w:r>
      <w:r w:rsidR="00BE1AC0">
        <w:t>бнаружен</w:t>
      </w:r>
      <w:r w:rsidR="00EB73D9">
        <w:t xml:space="preserve">ы не были. Тем не менее, </w:t>
      </w:r>
      <w:r w:rsidR="00BE1AC0">
        <w:t>состоятельных альтернатив представлениям об их существовании не имеется, а все предложенные альтернативные теории (модифицированная гравитация и др.) не могут объяснить всех наблюдаемых явлений, на основе которых был сделан вывод о необходимости существования темной материи в форме нового типа частиц.</w:t>
      </w:r>
    </w:p>
    <w:p w14:paraId="58E5C6B2" w14:textId="3D4046EF" w:rsidR="00DB4421" w:rsidRDefault="00DB4421" w:rsidP="00051CAF">
      <w:pPr>
        <w:pStyle w:val="ac"/>
        <w:spacing w:after="200"/>
        <w:ind w:firstLine="426"/>
        <w:jc w:val="both"/>
      </w:pPr>
      <w:r w:rsidRPr="00DB4421">
        <w:t xml:space="preserve">Недавние результаты эксперимента </w:t>
      </w:r>
      <w:proofErr w:type="spellStart"/>
      <w:r w:rsidRPr="00DB4421">
        <w:t>Belle</w:t>
      </w:r>
      <w:proofErr w:type="spellEnd"/>
      <w:r w:rsidRPr="00DB4421">
        <w:t xml:space="preserve"> II по распаду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Pr="00DB4421">
        <w:t xml:space="preserve"> [1], где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Pr="00DB4421">
        <w:t xml:space="preserve"> — недостающая масса, показали значительное превышение</w:t>
      </w:r>
      <w:r w:rsidRPr="00DB4421">
        <w:t xml:space="preserve"> </w:t>
      </w:r>
      <w:r>
        <w:t>коэффициента ветвления по сравнению с</w:t>
      </w:r>
      <w:r w:rsidRPr="00DB4421">
        <w:t xml:space="preserve"> предсказани</w:t>
      </w:r>
      <w:r>
        <w:t>ями</w:t>
      </w:r>
      <w:r w:rsidRPr="00DB4421">
        <w:t xml:space="preserve"> Стандартной модели</w:t>
      </w:r>
      <w:r w:rsidR="00AA417D">
        <w:t xml:space="preserve"> (СМ)</w:t>
      </w:r>
      <w:r w:rsidRPr="00DB4421">
        <w:t xml:space="preserve"> для распада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ν</m:t>
        </m:r>
        <m:acc>
          <m:accPr>
            <m:chr m:val="̅"/>
            <m:ctrlPr>
              <w:rPr>
                <w:rFonts w:ascii="Cambria Math" w:hAnsi="Cambria Math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</w:rPr>
              <m:t>ν</m:t>
            </m:r>
          </m:e>
        </m:acc>
      </m:oMath>
      <w:r>
        <w:t>, единственного</w:t>
      </w:r>
      <w:r w:rsidR="00AA417D">
        <w:t xml:space="preserve"> процесса в СМ, дающего подобный вклад.</w:t>
      </w:r>
      <w:r w:rsidRPr="00DB4421">
        <w:t xml:space="preserve"> Это может указывать на наличие новой физики, связанной с производством частиц тёмной материи (ТМ) через</w:t>
      </w:r>
      <w:r w:rsidR="00AA417D">
        <w:t xml:space="preserve"> поле</w:t>
      </w:r>
      <w:r w:rsidRPr="00DB4421">
        <w:t xml:space="preserve"> скалярн</w:t>
      </w:r>
      <w:r w:rsidR="00AA417D">
        <w:t>ого</w:t>
      </w:r>
      <w:r w:rsidRPr="00DB4421">
        <w:t xml:space="preserve"> медиатор</w:t>
      </w:r>
      <w:r w:rsidR="00AA417D">
        <w:t>а</w:t>
      </w:r>
      <w:r w:rsidR="001F20C6">
        <w:t xml:space="preserve"> </w:t>
      </w:r>
      <w:r w:rsidR="001F20C6" w:rsidRPr="001F20C6">
        <w:t>[2</w:t>
      </w:r>
      <w:r w:rsidR="0078242E">
        <w:t>,3</w:t>
      </w:r>
      <w:r w:rsidR="001F20C6" w:rsidRPr="001F20C6">
        <w:t>]</w:t>
      </w:r>
      <w:r w:rsidRPr="00DB4421">
        <w:t>. В данной работе анализиру</w:t>
      </w:r>
      <w:r w:rsidR="00051CAF">
        <w:t>ется</w:t>
      </w:r>
      <w:r w:rsidRPr="00DB4421">
        <w:t xml:space="preserve"> сценарий, в котором избыток в распад</w:t>
      </w:r>
      <w:r w:rsidR="00051CAF">
        <w:t>ах</w:t>
      </w:r>
      <w:r w:rsidRPr="00DB4421">
        <w:t xml:space="preserve">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 w:rsidR="00051CAF">
        <w:t xml:space="preserve"> и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K</m:t>
            </m:r>
            <m:ctrlPr>
              <w:rPr>
                <w:rFonts w:ascii="Cambria Math" w:hAnsi="Cambria Math"/>
              </w:rPr>
            </m:ctrlPr>
          </m:e>
          <m:sup>
            <m:r>
              <w:rPr>
                <w:rFonts w:ascii="Cambria Math" w:hAnsi="Cambria Math"/>
              </w:rPr>
              <m:t>*</m:t>
            </m:r>
          </m:sup>
        </m:sSup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</m:oMath>
      <w:r w:rsidRPr="00DB4421">
        <w:t xml:space="preserve"> объясняется взаимодействием </w:t>
      </w:r>
      <w:proofErr w:type="spellStart"/>
      <w:r w:rsidR="00051CAF">
        <w:t>фермионных</w:t>
      </w:r>
      <w:proofErr w:type="spellEnd"/>
      <w:r w:rsidR="00051CAF">
        <w:t xml:space="preserve"> частиц</w:t>
      </w:r>
      <w:r w:rsidRPr="00DB4421">
        <w:t xml:space="preserve"> ТМ</w:t>
      </w:r>
      <w:r w:rsidR="00051CAF">
        <w:t xml:space="preserve"> </w:t>
      </w:r>
      <m:oMath>
        <m:r>
          <m:rPr>
            <m:sty m:val="p"/>
          </m:rPr>
          <w:rPr>
            <w:rFonts w:ascii="Cambria Math" w:hAnsi="Cambria Math"/>
          </w:rPr>
          <m:t>χ</m:t>
        </m:r>
      </m:oMath>
      <w:r w:rsidRPr="00DB4421">
        <w:t xml:space="preserve"> с </w:t>
      </w:r>
      <w:r w:rsidR="00051CAF">
        <w:t>топ-</w:t>
      </w:r>
      <w:r w:rsidRPr="00DB4421">
        <w:t xml:space="preserve">кварками через скалярный медиатор </w:t>
      </w:r>
      <m:oMath>
        <m:r>
          <m:rPr>
            <m:sty m:val="p"/>
          </m:rPr>
          <w:rPr>
            <w:rFonts w:ascii="Cambria Math" w:hAnsi="Cambria Math"/>
          </w:rPr>
          <m:t>ϕ</m:t>
        </m:r>
      </m:oMath>
      <w:r w:rsidRPr="00DB4421">
        <w:t>.</w:t>
      </w:r>
    </w:p>
    <w:p w14:paraId="00AEDB3B" w14:textId="1BC4AAF7" w:rsidR="001F20C6" w:rsidRPr="00AC7452" w:rsidRDefault="001F20C6" w:rsidP="001F20C6">
      <w:pPr>
        <w:pStyle w:val="ac"/>
        <w:spacing w:after="200"/>
        <w:ind w:firstLine="426"/>
        <w:jc w:val="both"/>
        <w:rPr>
          <w:i/>
        </w:rPr>
      </w:pPr>
      <w:r>
        <w:t xml:space="preserve">В работе показывается, что сценарий темной материи со скалярным медиатором находится в согласии с экспериментальными данными распада </w:t>
      </w:r>
      <m:oMath>
        <m:r>
          <w:rPr>
            <w:rFonts w:ascii="Cambria Math" w:hAnsi="Cambria Math"/>
          </w:rPr>
          <m:t>B</m:t>
        </m:r>
        <m:r>
          <m:rPr>
            <m:sty m:val="p"/>
          </m:rPr>
          <w:rPr>
            <w:rFonts w:ascii="Cambria Math" w:hAnsi="Cambria Math"/>
          </w:rPr>
          <m:t>→</m:t>
        </m:r>
        <m:r>
          <w:rPr>
            <w:rFonts w:ascii="Cambria Math" w:hAnsi="Cambria Math"/>
          </w:rPr>
          <m:t>K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b>
            <m:r>
              <w:rPr>
                <w:rFonts w:ascii="Cambria Math" w:hAnsi="Cambria Math"/>
                <w:lang w:val="en-US"/>
              </w:rPr>
              <m:t>X</m:t>
            </m:r>
          </m:sub>
        </m:sSub>
      </m:oMath>
      <w:r>
        <w:t xml:space="preserve"> и хорошо описывает форму наблюдаемого превышения по сравнению со Стандартной мо</w:t>
      </w:r>
      <w:r w:rsidR="0078242E">
        <w:t>де</w:t>
      </w:r>
      <w:r>
        <w:t xml:space="preserve">лью. В таком сценарии взаимодействие с частицами ТМ ведет к примерно одинаковым отличиям </w:t>
      </w:r>
      <m:oMath>
        <m:r>
          <m:rPr>
            <m:sty m:val="p"/>
          </m:rP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r>
              <w:rPr>
                <w:rFonts w:ascii="Cambria Math" w:hAnsi="Cambria Math"/>
              </w:rPr>
              <m:t>K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M</m:t>
                </m:r>
                <m:ctrlPr>
                  <w:rPr>
                    <w:rFonts w:ascii="Cambria Math" w:hAnsi="Cambria Math"/>
                    <w:i/>
                    <w:lang w:val="en-US"/>
                  </w:rPr>
                </m:ctrlPr>
              </m:e>
              <m:sub>
                <m:r>
                  <w:rPr>
                    <w:rFonts w:ascii="Cambria Math" w:hAnsi="Cambria Math"/>
                    <w:lang w:val="en-US"/>
                  </w:rPr>
                  <m:t>X</m:t>
                </m:r>
              </m:sub>
            </m:sSub>
          </m:e>
        </m:d>
      </m:oMath>
      <w:r>
        <w:t xml:space="preserve"> и </w:t>
      </w:r>
      <m:oMath>
        <m:r>
          <m:rPr>
            <m:sty m:val="p"/>
          </m:rPr>
          <w:rPr>
            <w:rFonts w:ascii="Cambria Math" w:hAnsi="Cambria Math"/>
          </w:rPr>
          <m:t>Γ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B</m:t>
            </m:r>
            <m:r>
              <m:rPr>
                <m:sty m:val="p"/>
              </m:rPr>
              <w:rPr>
                <w:rFonts w:ascii="Cambria Math" w:hAnsi="Cambria Math"/>
              </w:rPr>
              <m:t>→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K</m:t>
                </m:r>
                <m:ctrlPr>
                  <w:rPr>
                    <w:rFonts w:ascii="Cambria Math" w:hAnsi="Cambria Math"/>
                  </w:rPr>
                </m:ctrlPr>
              </m:e>
              <m:sup>
                <m:r>
                  <w:rPr>
                    <w:rFonts w:ascii="Cambria Math" w:hAnsi="Cambria Math"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M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</m:e>
        </m:d>
      </m:oMath>
      <w:r w:rsidRPr="001F20C6">
        <w:t xml:space="preserve"> </w:t>
      </w:r>
      <w:r>
        <w:t>от предсказаний СМ. Дифференциальные распределения соответствующих событий по</w:t>
      </w:r>
      <w:r w:rsidR="00AC7452">
        <w:t xml:space="preserve"> экспериментально измеренной</w:t>
      </w:r>
      <w:r>
        <w:t xml:space="preserve"> переменной</w:t>
      </w:r>
      <w:r w:rsidR="00AC7452">
        <w:t xml:space="preserve"> </w:t>
      </w:r>
      <m:oMath>
        <m:sSubSup>
          <m:sSubSupPr>
            <m:ctrlPr>
              <w:rPr>
                <w:rFonts w:ascii="Cambria Math" w:hAnsi="Cambria Math"/>
                <w:i/>
                <w:color w:val="000000"/>
                <w:lang w:val="en-US"/>
              </w:rPr>
            </m:ctrlPr>
          </m:sSubSupPr>
          <m:e>
            <m:r>
              <w:rPr>
                <w:rFonts w:ascii="Cambria Math" w:hAnsi="Cambria Math"/>
                <w:color w:val="000000"/>
                <w:lang w:val="en-US"/>
              </w:rPr>
              <m:t>q</m:t>
            </m:r>
          </m:e>
          <m:sub>
            <m:r>
              <w:rPr>
                <w:rFonts w:ascii="Cambria Math" w:hAnsi="Cambria Math"/>
                <w:color w:val="000000"/>
                <w:lang w:val="en-US"/>
              </w:rPr>
              <m:t>rec</m:t>
            </m:r>
          </m:sub>
          <m:sup>
            <m:r>
              <w:rPr>
                <w:rFonts w:ascii="Cambria Math" w:hAnsi="Cambria Math"/>
                <w:color w:val="000000"/>
              </w:rPr>
              <m:t>2</m:t>
            </m:r>
          </m:sup>
        </m:sSubSup>
      </m:oMath>
      <w:r w:rsidR="00AC7452">
        <w:rPr>
          <w:color w:val="000000"/>
        </w:rPr>
        <w:t xml:space="preserve"> для обоих случаев также схожи друг с другом.</w:t>
      </w:r>
      <w:r w:rsidR="0078242E">
        <w:rPr>
          <w:color w:val="000000"/>
        </w:rPr>
        <w:t xml:space="preserve"> Кроме того, в работе изучалось влияние замены в модели </w:t>
      </w:r>
      <w:proofErr w:type="spellStart"/>
      <w:r w:rsidR="0078242E">
        <w:rPr>
          <w:color w:val="000000"/>
        </w:rPr>
        <w:t>дираковских</w:t>
      </w:r>
      <w:proofErr w:type="spellEnd"/>
      <w:r w:rsidR="0078242E">
        <w:rPr>
          <w:color w:val="000000"/>
        </w:rPr>
        <w:t xml:space="preserve"> </w:t>
      </w:r>
      <w:proofErr w:type="spellStart"/>
      <w:r w:rsidR="0078242E">
        <w:rPr>
          <w:color w:val="000000"/>
        </w:rPr>
        <w:t>фермионных</w:t>
      </w:r>
      <w:proofErr w:type="spellEnd"/>
      <w:r w:rsidR="0078242E">
        <w:rPr>
          <w:color w:val="000000"/>
        </w:rPr>
        <w:t xml:space="preserve"> частиц ТМ на </w:t>
      </w:r>
      <w:proofErr w:type="spellStart"/>
      <w:r w:rsidR="0078242E">
        <w:rPr>
          <w:color w:val="000000"/>
        </w:rPr>
        <w:t>майорановские</w:t>
      </w:r>
      <w:proofErr w:type="spellEnd"/>
      <w:r w:rsidR="0078242E">
        <w:rPr>
          <w:color w:val="000000"/>
        </w:rPr>
        <w:t>.</w:t>
      </w:r>
    </w:p>
    <w:p w14:paraId="0D463AD8" w14:textId="3E63561F" w:rsidR="007B474E" w:rsidRPr="007B474E" w:rsidRDefault="007B474E" w:rsidP="007B474E">
      <w:pPr>
        <w:spacing w:line="360" w:lineRule="auto"/>
        <w:ind w:firstLine="403"/>
        <w:jc w:val="both"/>
        <w:rPr>
          <w:rFonts w:ascii="Times New Roman" w:hAnsi="Times New Roman" w:cs="Times New Roman"/>
        </w:rPr>
      </w:pPr>
      <w:r w:rsidRPr="004904B9">
        <w:rPr>
          <w:rFonts w:ascii="Times New Roman" w:hAnsi="Times New Roman" w:cs="Times New Roman"/>
        </w:rPr>
        <w:t xml:space="preserve">Работа проведена в рамках </w:t>
      </w:r>
      <w:r>
        <w:rPr>
          <w:rFonts w:ascii="Times New Roman" w:hAnsi="Times New Roman" w:cs="Times New Roman"/>
        </w:rPr>
        <w:t>программы «Физика частиц и космология» Национального центра физики и математики</w:t>
      </w:r>
      <w:r w:rsidRPr="004904B9">
        <w:rPr>
          <w:rFonts w:ascii="Times New Roman" w:hAnsi="Times New Roman" w:cs="Times New Roman"/>
        </w:rPr>
        <w:t>.</w:t>
      </w:r>
    </w:p>
    <w:p w14:paraId="7D7F4F28" w14:textId="77777777" w:rsidR="00DE39A8" w:rsidRDefault="00DE39A8" w:rsidP="00DE39A8">
      <w:pPr>
        <w:jc w:val="center"/>
        <w:rPr>
          <w:rFonts w:ascii="Times New Roman" w:hAnsi="Times New Roman" w:cs="Times New Roman"/>
          <w:b/>
          <w:bCs/>
        </w:rPr>
      </w:pPr>
      <w:r w:rsidRPr="009C3FBA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sdt>
      <w:sdtPr>
        <w:rPr>
          <w:rFonts w:ascii="Times New Roman" w:hAnsi="Times New Roman" w:cs="Times New Roman"/>
          <w:bCs/>
          <w:color w:val="000000"/>
          <w:sz w:val="24"/>
          <w:szCs w:val="24"/>
        </w:rPr>
        <w:tag w:val="MENDELEY_BIBLIOGRAPHY"/>
        <w:id w:val="1110783540"/>
        <w:placeholder>
          <w:docPart w:val="5C38BC2BE26F40FFA17A7E2AF70724DD"/>
        </w:placeholder>
      </w:sdtPr>
      <w:sdtContent>
        <w:p w14:paraId="180CB256" w14:textId="595885D5" w:rsidR="00DE39A8" w:rsidRPr="00DE39A8" w:rsidRDefault="00DE39A8" w:rsidP="00DE39A8">
          <w:pPr>
            <w:autoSpaceDE w:val="0"/>
            <w:autoSpaceDN w:val="0"/>
            <w:ind w:hanging="640"/>
            <w:rPr>
              <w:rFonts w:ascii="Times New Roman" w:eastAsia="Times New Roman" w:hAnsi="Times New Roman" w:cs="Times New Roman"/>
              <w:color w:val="000000"/>
              <w:kern w:val="0"/>
              <w:sz w:val="28"/>
              <w:szCs w:val="28"/>
              <w:lang w:val="en-US"/>
              <w14:ligatures w14:val="none"/>
            </w:rPr>
          </w:pP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1.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ab/>
            <w:t xml:space="preserve">Adachi I. et al. Evidence for B+→ K+ 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ν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proofErr w:type="spellStart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ν</w:t>
          </w:r>
          <w:proofErr w:type="spellEnd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¯ decays //Physical Review D. – 2024. – 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Т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. 109. – №. 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  <w:t>11. – С. 112006.</w:t>
          </w:r>
        </w:p>
        <w:p w14:paraId="5AB083FC" w14:textId="062E67E0" w:rsidR="00DE39A8" w:rsidRDefault="00DE39A8" w:rsidP="00DE39A8">
          <w:pPr>
            <w:autoSpaceDE w:val="0"/>
            <w:autoSpaceDN w:val="0"/>
            <w:ind w:hanging="64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2.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ab/>
            <w:t xml:space="preserve">Berezhnoy A., </w:t>
          </w:r>
          <w:proofErr w:type="spellStart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Melikhov</w:t>
          </w:r>
          <w:proofErr w:type="spellEnd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D.  </w:t>
          </w:r>
          <m:oMath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→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K</m:t>
                </m: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sub>
            </m:sSub>
          </m:oMath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 vs  </w:t>
          </w:r>
          <m:oMath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→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K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sub>
            </m:sSub>
          </m:oMath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 as a probe of a scalar-mediator dark matter scenario //</w:t>
          </w:r>
          <w:proofErr w:type="spellStart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arXiv</w:t>
          </w:r>
          <w:proofErr w:type="spellEnd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preprint arXiv:2309.17191. – 2023.</w:t>
          </w:r>
        </w:p>
        <w:p w14:paraId="4965A612" w14:textId="16231EB3" w:rsidR="00DE39A8" w:rsidRPr="00DE39A8" w:rsidRDefault="00DE39A8" w:rsidP="00DE39A8">
          <w:pPr>
            <w:autoSpaceDE w:val="0"/>
            <w:autoSpaceDN w:val="0"/>
            <w:ind w:hanging="640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</w:pP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3.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ab/>
            <w:t xml:space="preserve">Berezhnoy A., Lucha W., </w:t>
          </w:r>
          <w:proofErr w:type="spellStart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Melikhov</w:t>
          </w:r>
          <w:proofErr w:type="spellEnd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D. Analysis of </w:t>
          </w:r>
          <m:oMath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q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rec</m:t>
                </m:r>
              </m:sub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2</m:t>
                </m:r>
              </m:sup>
            </m:sSubSup>
          </m:oMath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-distribution for </w:t>
          </w:r>
          <m:oMath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→</m:t>
            </m:r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K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sub>
            </m:sSub>
          </m:oMath>
          <w:r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</w:t>
          </w:r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and</w:t>
          </w:r>
          <w:r>
            <w:rPr>
              <w:rFonts w:ascii="Cambria Math" w:eastAsia="Times New Roman" w:hAnsi="Cambria Math" w:cs="Times New Roman"/>
              <w:i/>
              <w:color w:val="000000"/>
              <w:sz w:val="24"/>
              <w:szCs w:val="24"/>
              <w:lang w:val="en-US"/>
            </w:rPr>
            <w:t xml:space="preserve"> </w:t>
          </w:r>
          <m:oMath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B</m:t>
            </m:r>
            <m:r>
              <m:rPr>
                <m:sty m:val="p"/>
              </m:r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/>
              </w:rPr>
              <m:t>→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K</m:t>
                </m:r>
                <m:ctrlP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</m:ctrlPr>
              </m:e>
              <m:sup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color w:val="000000"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M</m:t>
                </m:r>
              </m:e>
              <m:sub>
                <m:r>
                  <w:rPr>
                    <w:rFonts w:ascii="Cambria Math" w:eastAsia="Times New Roman" w:hAnsi="Cambria Math" w:cs="Times New Roman"/>
                    <w:color w:val="000000"/>
                    <w:sz w:val="24"/>
                    <w:szCs w:val="24"/>
                    <w:lang w:val="en-US"/>
                  </w:rPr>
                  <m:t>X</m:t>
                </m:r>
              </m:sub>
            </m:sSub>
          </m:oMath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decays in a scalar-mediator dark-matter scenario //</w:t>
          </w:r>
          <w:proofErr w:type="spellStart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>arXiv</w:t>
          </w:r>
          <w:proofErr w:type="spellEnd"/>
          <w:r w:rsidRPr="00DE39A8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val="en-US"/>
            </w:rPr>
            <w:t xml:space="preserve"> preprint arXiv:2502.14313. – 2025. </w:t>
          </w:r>
        </w:p>
      </w:sdtContent>
    </w:sdt>
    <w:p w14:paraId="233836B4" w14:textId="77777777" w:rsidR="00A01B98" w:rsidRPr="00DE39A8" w:rsidRDefault="00A01B98">
      <w:pPr>
        <w:rPr>
          <w:lang w:val="en-US"/>
        </w:rPr>
      </w:pPr>
    </w:p>
    <w:sectPr w:rsidR="00A01B98" w:rsidRPr="00DE3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249"/>
    <w:rsid w:val="00051CAF"/>
    <w:rsid w:val="000C4BB8"/>
    <w:rsid w:val="001968DB"/>
    <w:rsid w:val="001C7F81"/>
    <w:rsid w:val="001F20C6"/>
    <w:rsid w:val="0028630F"/>
    <w:rsid w:val="00415325"/>
    <w:rsid w:val="004B72FF"/>
    <w:rsid w:val="005A3557"/>
    <w:rsid w:val="0064593B"/>
    <w:rsid w:val="0078242E"/>
    <w:rsid w:val="00787130"/>
    <w:rsid w:val="007B474E"/>
    <w:rsid w:val="00965249"/>
    <w:rsid w:val="00A01B98"/>
    <w:rsid w:val="00A73DD0"/>
    <w:rsid w:val="00AA417D"/>
    <w:rsid w:val="00AA6FE7"/>
    <w:rsid w:val="00AC7452"/>
    <w:rsid w:val="00B60191"/>
    <w:rsid w:val="00B9611C"/>
    <w:rsid w:val="00BC199F"/>
    <w:rsid w:val="00BE1AC0"/>
    <w:rsid w:val="00DB4421"/>
    <w:rsid w:val="00DE39A8"/>
    <w:rsid w:val="00EB73D9"/>
    <w:rsid w:val="00EC0E61"/>
    <w:rsid w:val="00F23FF1"/>
    <w:rsid w:val="00F6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51108"/>
  <w15:chartTrackingRefBased/>
  <w15:docId w15:val="{9DB19C09-738C-4431-92A7-5DD13879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52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52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52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52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52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52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652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652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652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652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652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6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52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652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52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52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52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65249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3308,bqiaagaaeyqcaaagiaiaaaolcwaabzklaaaaaaaaaaaaaaaaaaaaaaaaaaaaaaaaaaaaaaaaaaaaaaaaaaaaaaaaaaaaaaaaaaaaaaaaaaaaaaaaaaaaaaaaaaaaaaaaaaaaaaaaaaaaaaaaaaaaaaaaaaaaaaaaaaaaaaaaaaaaaaaaaaaaaaaaaaaaaaaaaaaaaaaaaaaaaaaaaaaaaaaaaaaaaaaaaaaaaaaa"/>
    <w:basedOn w:val="a"/>
    <w:rsid w:val="000C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0C4B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8630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28630F"/>
    <w:rPr>
      <w:color w:val="605E5C"/>
      <w:shd w:val="clear" w:color="auto" w:fill="E1DFDD"/>
    </w:rPr>
  </w:style>
  <w:style w:type="character" w:styleId="af">
    <w:name w:val="Placeholder Text"/>
    <w:basedOn w:val="a0"/>
    <w:uiPriority w:val="99"/>
    <w:semiHidden/>
    <w:rsid w:val="00DB442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C38BC2BE26F40FFA17A7E2AF70724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1B814-9279-454C-8981-B1A1CC0F6A80}"/>
      </w:docPartPr>
      <w:docPartBody>
        <w:p w:rsidR="00000000" w:rsidRDefault="001A749C" w:rsidP="001A749C">
          <w:pPr>
            <w:pStyle w:val="5C38BC2BE26F40FFA17A7E2AF70724DD"/>
          </w:pPr>
          <w:r w:rsidRPr="00320B4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49C"/>
    <w:rsid w:val="001A749C"/>
    <w:rsid w:val="00787130"/>
    <w:rsid w:val="007D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749C"/>
    <w:rPr>
      <w:color w:val="666666"/>
    </w:rPr>
  </w:style>
  <w:style w:type="paragraph" w:customStyle="1" w:styleId="5C38BC2BE26F40FFA17A7E2AF70724DD">
    <w:name w:val="5C38BC2BE26F40FFA17A7E2AF70724DD"/>
    <w:rsid w:val="001A74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360</Words>
  <Characters>2375</Characters>
  <Application>Microsoft Office Word</Application>
  <DocSecurity>0</DocSecurity>
  <Lines>44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 Вверх</dc:creator>
  <cp:keywords/>
  <dc:description/>
  <cp:lastModifiedBy>Карл Вверх</cp:lastModifiedBy>
  <cp:revision>16</cp:revision>
  <dcterms:created xsi:type="dcterms:W3CDTF">2025-03-09T12:55:00Z</dcterms:created>
  <dcterms:modified xsi:type="dcterms:W3CDTF">2025-03-09T20:55:00Z</dcterms:modified>
</cp:coreProperties>
</file>