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25E0E" w14:textId="45FB2D8B" w:rsidR="000F3646" w:rsidRDefault="007C7962" w:rsidP="000F3646">
      <w:pPr>
        <w:pStyle w:val="a6"/>
        <w:pageBreakBefore/>
        <w:spacing w:after="119" w:line="200" w:lineRule="atLeast"/>
        <w:jc w:val="center"/>
        <w:rPr>
          <w:rStyle w:val="1"/>
          <w:b/>
          <w:i/>
        </w:rPr>
      </w:pPr>
      <w:r w:rsidRPr="007C7962">
        <w:rPr>
          <w:rStyle w:val="1"/>
          <w:b/>
          <w:i/>
          <w:iCs/>
          <w:color w:val="333333"/>
        </w:rPr>
        <w:t xml:space="preserve">Нелинейные поправки к гауссовскому </w:t>
      </w:r>
      <w:proofErr w:type="spellStart"/>
      <w:r w:rsidRPr="007C7962">
        <w:rPr>
          <w:rStyle w:val="1"/>
          <w:b/>
          <w:i/>
          <w:iCs/>
          <w:color w:val="333333"/>
        </w:rPr>
        <w:t>анзатцу</w:t>
      </w:r>
      <w:proofErr w:type="spellEnd"/>
      <w:r w:rsidRPr="007C7962">
        <w:rPr>
          <w:rStyle w:val="1"/>
          <w:b/>
          <w:i/>
          <w:iCs/>
          <w:color w:val="333333"/>
        </w:rPr>
        <w:t xml:space="preserve"> в теории открытых квантовых систем</w:t>
      </w:r>
      <w:r w:rsidR="000F3646">
        <w:rPr>
          <w:rStyle w:val="1"/>
          <w:b/>
          <w:i/>
          <w:iCs/>
          <w:color w:val="333333"/>
        </w:rPr>
        <w:t>.</w:t>
      </w:r>
    </w:p>
    <w:p w14:paraId="1BEF16E8" w14:textId="77777777" w:rsidR="000F3646" w:rsidRDefault="000F3646" w:rsidP="000F3646">
      <w:pPr>
        <w:pStyle w:val="a6"/>
        <w:spacing w:after="0" w:line="200" w:lineRule="atLeast"/>
        <w:jc w:val="center"/>
        <w:rPr>
          <w:i/>
        </w:rPr>
      </w:pPr>
      <w:proofErr w:type="spellStart"/>
      <w:r>
        <w:rPr>
          <w:rStyle w:val="1"/>
          <w:b/>
          <w:i/>
        </w:rPr>
        <w:t>Меретуков</w:t>
      </w:r>
      <w:proofErr w:type="spellEnd"/>
      <w:r>
        <w:rPr>
          <w:rStyle w:val="1"/>
          <w:b/>
          <w:i/>
        </w:rPr>
        <w:t xml:space="preserve"> Х.Ш.</w:t>
      </w:r>
    </w:p>
    <w:p w14:paraId="3E4E7143" w14:textId="77777777" w:rsidR="000F3646" w:rsidRDefault="000F3646" w:rsidP="000F3646">
      <w:pPr>
        <w:pStyle w:val="a6"/>
        <w:spacing w:after="0" w:line="200" w:lineRule="atLeast"/>
        <w:jc w:val="center"/>
        <w:rPr>
          <w:i/>
        </w:rPr>
      </w:pPr>
      <w:r>
        <w:rPr>
          <w:i/>
        </w:rPr>
        <w:t>Студент</w:t>
      </w:r>
    </w:p>
    <w:p w14:paraId="625BECE8" w14:textId="77777777" w:rsidR="000F3646" w:rsidRDefault="000F3646" w:rsidP="000F3646">
      <w:pPr>
        <w:pStyle w:val="a6"/>
        <w:spacing w:after="0" w:line="200" w:lineRule="atLeast"/>
        <w:jc w:val="center"/>
        <w:rPr>
          <w:rStyle w:val="1"/>
          <w:i/>
        </w:rPr>
      </w:pPr>
      <w:r>
        <w:rPr>
          <w:i/>
        </w:rPr>
        <w:t>Московский университет имени Ломоносова, физический факультет, г. Москва, Россия</w:t>
      </w:r>
    </w:p>
    <w:p w14:paraId="7B9C6AC0" w14:textId="70ADDF93" w:rsidR="000F3646" w:rsidRPr="00A25F93" w:rsidRDefault="000F3646" w:rsidP="000F3646">
      <w:pPr>
        <w:pStyle w:val="a6"/>
        <w:spacing w:after="113" w:line="200" w:lineRule="atLeast"/>
        <w:jc w:val="center"/>
        <w:rPr>
          <w:color w:val="333333"/>
          <w:lang w:val="en-US"/>
        </w:rPr>
      </w:pPr>
      <w:r w:rsidRPr="00A25F93">
        <w:rPr>
          <w:rStyle w:val="1"/>
          <w:i/>
          <w:lang w:val="en-US"/>
        </w:rPr>
        <w:t xml:space="preserve">E-mail: </w:t>
      </w:r>
      <w:hyperlink r:id="rId5" w:history="1">
        <w:r w:rsidR="00A25F93" w:rsidRPr="00A25F93">
          <w:rPr>
            <w:rStyle w:val="a5"/>
            <w:i/>
            <w:iCs/>
            <w:lang w:val="en-US"/>
          </w:rPr>
          <w:t>meretukov.khazret@gmail.com</w:t>
        </w:r>
      </w:hyperlink>
      <w:r w:rsidR="00A25F93" w:rsidRPr="00A25F93">
        <w:rPr>
          <w:lang w:val="en-US"/>
        </w:rPr>
        <w:t xml:space="preserve"> </w:t>
      </w:r>
    </w:p>
    <w:p w14:paraId="080A2D03" w14:textId="6039EDB1" w:rsidR="000F3646" w:rsidRDefault="000F3646" w:rsidP="00234DD9">
      <w:pPr>
        <w:pStyle w:val="a6"/>
        <w:spacing w:line="200" w:lineRule="atLeast"/>
        <w:ind w:firstLine="397"/>
        <w:jc w:val="both"/>
        <w:rPr>
          <w:color w:val="333333"/>
        </w:rPr>
      </w:pPr>
      <w:r>
        <w:rPr>
          <w:color w:val="333333"/>
        </w:rPr>
        <w:t>Физика открытых квантовых систем занимается исследованием систем, которые могут обмениваться энергией и веществом со своим окружением. Такие системы распространены в большом спектре областей, также почти все реальные системы являются открытыми. Поэтому исследование таких систем является актуальной задачей и данная отрасль активно развивается в последнее время. Основной идей является то, что система и ее окружение вместе образуют одну закрытую систему, которая эволюционирует в соответствии с обычными законами квантовой механики. Однако, при таком подходе мы получаем информацию не только о системе, но и об окружении. Для того, чтобы выделить из этой информации интересующую нас, надо выделить подсистему.</w:t>
      </w:r>
    </w:p>
    <w:p w14:paraId="096D8783" w14:textId="63557712" w:rsidR="000F3646" w:rsidRDefault="00234DD9" w:rsidP="000F3646">
      <w:pPr>
        <w:pStyle w:val="a6"/>
        <w:ind w:firstLine="397"/>
        <w:jc w:val="both"/>
        <w:rPr>
          <w:rStyle w:val="1"/>
          <w:b/>
          <w:color w:val="333333"/>
        </w:rPr>
      </w:pPr>
      <w:r>
        <w:rPr>
          <w:rStyle w:val="1"/>
          <w:color w:val="333333"/>
        </w:rPr>
        <w:t>В данной работе мы используем метод,</w:t>
      </w:r>
      <w:r w:rsidR="000F3646">
        <w:rPr>
          <w:rStyle w:val="1"/>
          <w:color w:val="333333"/>
        </w:rPr>
        <w:t xml:space="preserve"> заключа</w:t>
      </w:r>
      <w:r>
        <w:rPr>
          <w:rStyle w:val="1"/>
          <w:color w:val="333333"/>
        </w:rPr>
        <w:t>ющийся</w:t>
      </w:r>
      <w:r w:rsidR="000F3646">
        <w:rPr>
          <w:rStyle w:val="1"/>
          <w:color w:val="333333"/>
        </w:rPr>
        <w:t xml:space="preserve"> в аппроксимации реальной матрицы плотности матрицей плотности, которая определяется неким набором параметров </w:t>
      </w:r>
      <m:oMath>
        <m:sSub>
          <m:sSubPr>
            <m:ctrlPr>
              <w:rPr>
                <w:rStyle w:val="1"/>
                <w:rFonts w:ascii="Cambria Math" w:hAnsi="Cambria Math"/>
                <w:i/>
                <w:color w:val="333333"/>
              </w:rPr>
            </m:ctrlPr>
          </m:sSubPr>
          <m:e>
            <m:r>
              <w:rPr>
                <w:rStyle w:val="1"/>
                <w:rFonts w:ascii="Cambria Math" w:hAnsi="Cambria Math"/>
                <w:color w:val="333333"/>
              </w:rPr>
              <m:t>P</m:t>
            </m:r>
          </m:e>
          <m:sub>
            <m:r>
              <w:rPr>
                <w:rStyle w:val="1"/>
                <w:rFonts w:ascii="Cambria Math" w:hAnsi="Cambria Math"/>
                <w:color w:val="333333"/>
              </w:rPr>
              <m:t>i</m:t>
            </m:r>
          </m:sub>
        </m:sSub>
      </m:oMath>
      <w:r w:rsidR="000F3646">
        <w:rPr>
          <w:rStyle w:val="1"/>
          <w:color w:val="333333"/>
        </w:rPr>
        <w:t>. Последний способ, как правило, базируется на проекторе Кавасаки-Гантона</w:t>
      </w:r>
      <w:r w:rsidR="00E7435E" w:rsidRPr="00E7435E">
        <w:rPr>
          <w:rFonts w:eastAsia="Times New Roman" w:cs="Times New Roman"/>
          <w:color w:val="000000" w:themeColor="text1"/>
          <w:kern w:val="0"/>
          <w:sz w:val="20"/>
          <w:szCs w:val="20"/>
          <w:lang w:eastAsia="ar-SA" w:bidi="ar-SA"/>
        </w:rPr>
        <w:t xml:space="preserve"> </w:t>
      </w:r>
      <w:r w:rsidR="00E7435E" w:rsidRPr="00E7435E">
        <w:rPr>
          <w:color w:val="333333"/>
        </w:rPr>
        <w:t>[1-3]</w:t>
      </w:r>
      <w:r w:rsidR="000F3646">
        <w:rPr>
          <w:rStyle w:val="1"/>
          <w:color w:val="333333"/>
        </w:rPr>
        <w:t>. В частности, на нём базируется разработанный недавно термодинамический подход к открытым квантовым системам</w:t>
      </w:r>
      <w:r w:rsidR="00E7435E">
        <w:rPr>
          <w:rStyle w:val="1"/>
          <w:color w:val="333333"/>
        </w:rPr>
        <w:t xml:space="preserve"> </w:t>
      </w:r>
      <w:r w:rsidR="00E7435E" w:rsidRPr="00E7435E">
        <w:rPr>
          <w:rStyle w:val="1"/>
          <w:color w:val="333333"/>
        </w:rPr>
        <w:t>[3]</w:t>
      </w:r>
      <w:r w:rsidR="000F3646">
        <w:rPr>
          <w:rStyle w:val="1"/>
          <w:color w:val="333333"/>
        </w:rPr>
        <w:t>. Однако, нами был предложен обобщение проектора Кавасаки-</w:t>
      </w:r>
      <w:proofErr w:type="spellStart"/>
      <w:r w:rsidR="000F3646">
        <w:rPr>
          <w:rStyle w:val="1"/>
          <w:color w:val="333333"/>
        </w:rPr>
        <w:t>Гантона</w:t>
      </w:r>
      <w:proofErr w:type="spellEnd"/>
      <w:r w:rsidR="000F3646">
        <w:rPr>
          <w:rStyle w:val="1"/>
          <w:color w:val="333333"/>
        </w:rPr>
        <w:t xml:space="preserve">, позволяющее рассматривать произвольные </w:t>
      </w:r>
      <w:proofErr w:type="spellStart"/>
      <w:r w:rsidR="000F3646">
        <w:rPr>
          <w:rStyle w:val="1"/>
          <w:color w:val="333333"/>
        </w:rPr>
        <w:t>анзацы</w:t>
      </w:r>
      <w:proofErr w:type="spellEnd"/>
      <w:r w:rsidR="000F3646">
        <w:rPr>
          <w:rStyle w:val="1"/>
          <w:color w:val="333333"/>
        </w:rPr>
        <w:t xml:space="preserve">, параметризованные некоторыми наблюдаемыми, называемыми релевантными </w:t>
      </w:r>
      <w:r w:rsidR="00E7435E">
        <w:rPr>
          <w:rStyle w:val="1"/>
          <w:color w:val="333333"/>
        </w:rPr>
        <w:t>[4]</w:t>
      </w:r>
    </w:p>
    <w:p w14:paraId="49F461A4" w14:textId="77777777" w:rsidR="000F3646" w:rsidRPr="008D3E9E" w:rsidRDefault="00000000" w:rsidP="000F3646">
      <w:pPr>
        <w:pStyle w:val="a6"/>
        <w:ind w:firstLine="397"/>
        <w:jc w:val="both"/>
        <w:rPr>
          <w:rStyle w:val="1"/>
          <w:rFonts w:ascii="Cambria Math" w:hAnsi="Cambria Math"/>
          <w:color w:val="333333"/>
          <w:lang w:val="en-US"/>
          <w:oMath/>
        </w:rPr>
      </w:pPr>
      <m:oMathPara>
        <m:oMath>
          <m:sSub>
            <m:sSubPr>
              <m:ctrlPr>
                <w:rPr>
                  <w:rStyle w:val="1"/>
                  <w:rFonts w:ascii="Cambria Math" w:hAnsi="Cambria Math"/>
                  <w:b/>
                  <w:i/>
                  <w:color w:val="333333"/>
                </w:rPr>
              </m:ctrlPr>
            </m:sSubPr>
            <m:e>
              <m:r>
                <w:rPr>
                  <w:rStyle w:val="1"/>
                  <w:rFonts w:ascii="Cambria Math" w:hAnsi="Cambria Math"/>
                  <w:color w:val="333333"/>
                </w:rPr>
                <m:t>P</m:t>
              </m:r>
            </m:e>
            <m:sub>
              <m:r>
                <w:rPr>
                  <w:rStyle w:val="1"/>
                  <w:rFonts w:ascii="Cambria Math" w:hAnsi="Cambria Math"/>
                  <w:color w:val="333333"/>
                </w:rPr>
                <m:t>KG</m:t>
              </m:r>
            </m:sub>
          </m:sSub>
          <m:r>
            <w:rPr>
              <w:rStyle w:val="1"/>
              <w:rFonts w:ascii="Cambria Math" w:hAnsi="Cambria Math"/>
              <w:color w:val="333333"/>
            </w:rPr>
            <m:t>ρ=</m:t>
          </m:r>
          <m:f>
            <m:fPr>
              <m:ctrlPr>
                <w:rPr>
                  <w:rStyle w:val="1"/>
                  <w:rFonts w:ascii="Cambria Math" w:hAnsi="Cambria Math"/>
                  <w:i/>
                  <w:color w:val="333333"/>
                </w:rPr>
              </m:ctrlPr>
            </m:fPr>
            <m:num>
              <m:r>
                <w:rPr>
                  <w:rStyle w:val="1"/>
                  <w:rFonts w:ascii="Cambria Math" w:hAnsi="Cambria Math"/>
                  <w:color w:val="333333"/>
                </w:rPr>
                <m:t>1</m:t>
              </m:r>
            </m:num>
            <m:den>
              <m:r>
                <w:rPr>
                  <w:rStyle w:val="1"/>
                  <w:rFonts w:ascii="Cambria Math" w:hAnsi="Cambria Math"/>
                  <w:color w:val="333333"/>
                </w:rPr>
                <m:t>Z</m:t>
              </m:r>
            </m:den>
          </m:f>
          <m:sSup>
            <m:sSupPr>
              <m:ctrlPr>
                <w:rPr>
                  <w:rStyle w:val="1"/>
                  <w:rFonts w:ascii="Cambria Math" w:hAnsi="Cambria Math"/>
                  <w:i/>
                  <w:color w:val="333333"/>
                  <w:lang w:val="en-US"/>
                </w:rPr>
              </m:ctrlPr>
            </m:sSupPr>
            <m:e>
              <m:r>
                <w:rPr>
                  <w:rStyle w:val="1"/>
                  <w:rFonts w:ascii="Cambria Math" w:hAnsi="Cambria Math"/>
                  <w:color w:val="333333"/>
                  <w:lang w:val="en-US"/>
                </w:rPr>
                <m:t>e</m:t>
              </m:r>
            </m:e>
            <m:sup>
              <m:r>
                <w:rPr>
                  <w:rStyle w:val="1"/>
                  <w:rFonts w:ascii="Cambria Math" w:hAnsi="Cambria Math"/>
                  <w:color w:val="333333"/>
                  <w:lang w:val="en-US"/>
                </w:rPr>
                <m:t>-</m:t>
              </m:r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Style w:val="1"/>
                      <w:rFonts w:ascii="Cambria Math" w:hAnsi="Cambria Math"/>
                      <w:i/>
                      <w:color w:val="333333"/>
                      <w:lang w:val="en-US"/>
                    </w:rPr>
                  </m:ctrlPr>
                </m:naryPr>
                <m:sub/>
                <m:sup/>
                <m:e>
                  <m:sSub>
                    <m:sSubPr>
                      <m:ctrlPr>
                        <w:rPr>
                          <w:rStyle w:val="1"/>
                          <w:rFonts w:ascii="Cambria Math" w:hAnsi="Cambria Math"/>
                          <w:i/>
                          <w:color w:val="333333"/>
                          <w:lang w:val="en-US"/>
                        </w:rPr>
                      </m:ctrlPr>
                    </m:sSubPr>
                    <m:e>
                      <m:r>
                        <w:rPr>
                          <w:rStyle w:val="1"/>
                          <w:rFonts w:ascii="Cambria Math" w:hAnsi="Cambria Math"/>
                          <w:color w:val="333333"/>
                          <w:lang w:val="en-US"/>
                        </w:rPr>
                        <m:t>P</m:t>
                      </m:r>
                    </m:e>
                    <m:sub>
                      <m:r>
                        <w:rPr>
                          <w:rStyle w:val="1"/>
                          <w:rFonts w:ascii="Cambria Math" w:hAnsi="Cambria Math"/>
                          <w:color w:val="333333"/>
                          <w:lang w:val="en-US"/>
                        </w:rPr>
                        <m:t>i</m:t>
                      </m:r>
                    </m:sub>
                  </m:sSub>
                  <m:sSub>
                    <m:sSubPr>
                      <m:ctrlPr>
                        <w:rPr>
                          <w:rStyle w:val="1"/>
                          <w:rFonts w:ascii="Cambria Math" w:hAnsi="Cambria Math"/>
                          <w:i/>
                          <w:color w:val="333333"/>
                          <w:lang w:val="en-US"/>
                        </w:rPr>
                      </m:ctrlPr>
                    </m:sSubPr>
                    <m:e>
                      <m:r>
                        <w:rPr>
                          <w:rStyle w:val="1"/>
                          <w:rFonts w:ascii="Cambria Math" w:hAnsi="Cambria Math"/>
                          <w:color w:val="333333"/>
                          <w:lang w:val="en-US"/>
                        </w:rPr>
                        <m:t>F</m:t>
                      </m:r>
                    </m:e>
                    <m:sub>
                      <m:r>
                        <w:rPr>
                          <w:rStyle w:val="1"/>
                          <w:rFonts w:ascii="Cambria Math" w:hAnsi="Cambria Math"/>
                          <w:color w:val="333333"/>
                          <w:lang w:val="en-US"/>
                        </w:rPr>
                        <m:t>i</m:t>
                      </m:r>
                    </m:sub>
                  </m:sSub>
                </m:e>
              </m:nary>
            </m:sup>
          </m:sSup>
          <m:r>
            <m:rPr>
              <m:sty m:val="p"/>
            </m:rPr>
            <w:rPr>
              <w:rStyle w:val="1"/>
              <w:rFonts w:ascii="Cambria Math" w:hAnsi="Cambria Math"/>
              <w:color w:val="333333"/>
              <w:lang w:val="en-US"/>
            </w:rPr>
            <m:t>.</m:t>
          </m:r>
        </m:oMath>
      </m:oMathPara>
    </w:p>
    <w:p w14:paraId="232D7426" w14:textId="77777777" w:rsidR="00234DD9" w:rsidRDefault="00234DD9" w:rsidP="000F3646">
      <w:pPr>
        <w:pStyle w:val="a6"/>
        <w:ind w:firstLine="397"/>
        <w:jc w:val="both"/>
        <w:rPr>
          <w:color w:val="333333"/>
        </w:rPr>
      </w:pPr>
      <w:r w:rsidRPr="00234DD9">
        <w:rPr>
          <w:color w:val="333333"/>
        </w:rPr>
        <w:t>Исследование открытых квантовых систем с нелинейными взаимодействиями, такими как модель Керра с диссипацией, представляет значительный интерес для квантовой оптики, квантовой информации и смежных областей. В данной работе разработан общий метод построения гауссовского приближения и пертурбативных поправок для бозонных нелинейных систем. Основное внимание уделено модели Керра в классическом внешнем поле с диссипацией:</w:t>
      </w:r>
    </w:p>
    <w:p w14:paraId="5F1636ED" w14:textId="6F8A2EAC" w:rsidR="000F3646" w:rsidRPr="00234DD9" w:rsidRDefault="000F3646" w:rsidP="000F3646">
      <w:pPr>
        <w:pStyle w:val="a6"/>
        <w:ind w:firstLine="397"/>
        <w:jc w:val="both"/>
        <w:rPr>
          <w:rStyle w:val="1"/>
          <w:color w:val="333333"/>
        </w:rPr>
      </w:pPr>
      <m:oMathPara>
        <m:oMath>
          <m:r>
            <w:rPr>
              <w:rStyle w:val="1"/>
              <w:rFonts w:ascii="Cambria Math" w:hAnsi="Cambria Math"/>
              <w:color w:val="333333"/>
            </w:rPr>
            <m:t>H=-</m:t>
          </m:r>
          <m:r>
            <m:rPr>
              <m:sty m:val="p"/>
            </m:rPr>
            <w:rPr>
              <w:rStyle w:val="1"/>
              <w:rFonts w:ascii="Cambria Math" w:hAnsi="Cambria Math"/>
              <w:color w:val="333333"/>
            </w:rPr>
            <m:t>Δ</m:t>
          </m:r>
          <m:sSup>
            <m:sSupPr>
              <m:ctrlPr>
                <w:rPr>
                  <w:rStyle w:val="1"/>
                  <w:rFonts w:ascii="Cambria Math" w:hAnsi="Cambria Math"/>
                  <w:i/>
                  <w:color w:val="333333"/>
                </w:rPr>
              </m:ctrlPr>
            </m:sSupPr>
            <m:e>
              <m:r>
                <w:rPr>
                  <w:rStyle w:val="1"/>
                  <w:rFonts w:ascii="Cambria Math" w:hAnsi="Cambria Math"/>
                  <w:color w:val="333333"/>
                </w:rPr>
                <m:t>a</m:t>
              </m:r>
              <m:r>
                <m:rPr>
                  <m:sty m:val="p"/>
                </m:rPr>
                <w:rPr>
                  <w:rStyle w:val="1"/>
                  <w:rFonts w:ascii="Cambria Math" w:hAnsi="Cambria Math"/>
                  <w:color w:val="333333"/>
                </w:rPr>
                <w:softHyphen/>
              </m:r>
            </m:e>
            <m:sup>
              <m:r>
                <w:rPr>
                  <w:rStyle w:val="1"/>
                  <w:rFonts w:ascii="Cambria Math" w:hAnsi="Cambria Math"/>
                  <w:color w:val="333333"/>
                </w:rPr>
                <m:t>+</m:t>
              </m:r>
            </m:sup>
          </m:sSup>
          <m:r>
            <w:rPr>
              <w:rStyle w:val="1"/>
              <w:rFonts w:ascii="Cambria Math" w:hAnsi="Cambria Math"/>
              <w:color w:val="333333"/>
              <w:lang w:val="en-US"/>
            </w:rPr>
            <m:t>a</m:t>
          </m:r>
          <m:r>
            <w:rPr>
              <w:rStyle w:val="1"/>
              <w:rFonts w:ascii="Cambria Math" w:hAnsi="Cambria Math"/>
              <w:color w:val="333333"/>
            </w:rPr>
            <m:t>+</m:t>
          </m:r>
          <m:f>
            <m:fPr>
              <m:ctrlPr>
                <w:rPr>
                  <w:rStyle w:val="1"/>
                  <w:rFonts w:ascii="Cambria Math" w:hAnsi="Cambria Math"/>
                  <w:i/>
                  <w:color w:val="333333"/>
                  <w:lang w:val="en-US"/>
                </w:rPr>
              </m:ctrlPr>
            </m:fPr>
            <m:num>
              <m:r>
                <w:rPr>
                  <w:rStyle w:val="1"/>
                  <w:rFonts w:ascii="Cambria Math" w:hAnsi="Cambria Math"/>
                  <w:color w:val="333333"/>
                  <w:lang w:val="en-US"/>
                </w:rPr>
                <m:t>χ</m:t>
              </m:r>
            </m:num>
            <m:den>
              <m:r>
                <w:rPr>
                  <w:rStyle w:val="1"/>
                  <w:rFonts w:ascii="Cambria Math" w:hAnsi="Cambria Math"/>
                  <w:color w:val="333333"/>
                </w:rPr>
                <m:t>2</m:t>
              </m:r>
            </m:den>
          </m:f>
          <m:sSup>
            <m:sSupPr>
              <m:ctrlPr>
                <w:rPr>
                  <w:rStyle w:val="1"/>
                  <w:rFonts w:ascii="Cambria Math" w:hAnsi="Cambria Math"/>
                  <w:i/>
                  <w:color w:val="333333"/>
                </w:rPr>
              </m:ctrlPr>
            </m:sSupPr>
            <m:e>
              <m:sSup>
                <m:sSupPr>
                  <m:ctrlPr>
                    <w:rPr>
                      <w:rStyle w:val="1"/>
                      <w:rFonts w:ascii="Cambria Math" w:hAnsi="Cambria Math"/>
                      <w:i/>
                      <w:color w:val="333333"/>
                    </w:rPr>
                  </m:ctrlPr>
                </m:sSupPr>
                <m:e>
                  <m:r>
                    <w:rPr>
                      <w:rStyle w:val="1"/>
                      <w:rFonts w:ascii="Cambria Math" w:hAnsi="Cambria Math"/>
                      <w:color w:val="333333"/>
                    </w:rPr>
                    <m:t>a</m:t>
                  </m:r>
                  <m:r>
                    <m:rPr>
                      <m:sty m:val="p"/>
                    </m:rPr>
                    <w:rPr>
                      <w:rStyle w:val="1"/>
                      <w:rFonts w:ascii="Cambria Math" w:hAnsi="Cambria Math"/>
                      <w:color w:val="333333"/>
                    </w:rPr>
                    <w:softHyphen/>
                  </m:r>
                </m:e>
                <m:sup>
                  <m:r>
                    <w:rPr>
                      <w:rStyle w:val="1"/>
                      <w:rFonts w:ascii="Cambria Math" w:hAnsi="Cambria Math"/>
                      <w:color w:val="333333"/>
                    </w:rPr>
                    <m:t>+</m:t>
                  </m:r>
                </m:sup>
              </m:sSup>
              <m:r>
                <w:rPr>
                  <w:rStyle w:val="1"/>
                  <w:rFonts w:ascii="Cambria Math" w:hAnsi="Cambria Math"/>
                  <w:color w:val="333333"/>
                </w:rPr>
                <m:t>a</m:t>
              </m:r>
              <m:r>
                <m:rPr>
                  <m:sty m:val="p"/>
                </m:rPr>
                <w:rPr>
                  <w:rStyle w:val="1"/>
                  <w:rFonts w:ascii="Cambria Math" w:hAnsi="Cambria Math"/>
                  <w:color w:val="333333"/>
                </w:rPr>
                <w:softHyphen/>
              </m:r>
            </m:e>
            <m:sup>
              <m:r>
                <w:rPr>
                  <w:rStyle w:val="1"/>
                  <w:rFonts w:ascii="Cambria Math" w:hAnsi="Cambria Math"/>
                  <w:color w:val="333333"/>
                </w:rPr>
                <m:t>+</m:t>
              </m:r>
            </m:sup>
          </m:sSup>
          <m:r>
            <w:rPr>
              <w:rStyle w:val="1"/>
              <w:rFonts w:ascii="Cambria Math" w:hAnsi="Cambria Math"/>
              <w:color w:val="333333"/>
              <w:lang w:val="en-US"/>
            </w:rPr>
            <m:t>aa</m:t>
          </m:r>
          <m:r>
            <w:rPr>
              <w:rStyle w:val="1"/>
              <w:rFonts w:ascii="Cambria Math" w:hAnsi="Cambria Math"/>
              <w:color w:val="333333"/>
            </w:rPr>
            <m:t>-</m:t>
          </m:r>
          <m:r>
            <w:rPr>
              <w:rStyle w:val="1"/>
              <w:rFonts w:ascii="Cambria Math" w:hAnsi="Cambria Math"/>
              <w:color w:val="333333"/>
              <w:lang w:val="en-US"/>
            </w:rPr>
            <m:t>iF</m:t>
          </m:r>
          <m:d>
            <m:dPr>
              <m:ctrlPr>
                <w:rPr>
                  <w:rStyle w:val="1"/>
                  <w:rFonts w:ascii="Cambria Math" w:hAnsi="Cambria Math"/>
                  <w:i/>
                  <w:color w:val="333333"/>
                  <w:lang w:val="en-US"/>
                </w:rPr>
              </m:ctrlPr>
            </m:dPr>
            <m:e>
              <m:r>
                <w:rPr>
                  <w:rStyle w:val="1"/>
                  <w:rFonts w:ascii="Cambria Math" w:hAnsi="Cambria Math"/>
                  <w:color w:val="333333"/>
                  <w:lang w:val="en-US"/>
                </w:rPr>
                <m:t>a</m:t>
              </m:r>
              <m:r>
                <w:rPr>
                  <w:rStyle w:val="1"/>
                  <w:rFonts w:ascii="Cambria Math" w:hAnsi="Cambria Math"/>
                  <w:color w:val="333333"/>
                </w:rPr>
                <m:t>-</m:t>
              </m:r>
              <m:sSup>
                <m:sSupPr>
                  <m:ctrlPr>
                    <w:rPr>
                      <w:rStyle w:val="1"/>
                      <w:rFonts w:ascii="Cambria Math" w:hAnsi="Cambria Math"/>
                      <w:i/>
                      <w:color w:val="333333"/>
                    </w:rPr>
                  </m:ctrlPr>
                </m:sSupPr>
                <m:e>
                  <m:r>
                    <w:rPr>
                      <w:rStyle w:val="1"/>
                      <w:rFonts w:ascii="Cambria Math" w:hAnsi="Cambria Math"/>
                      <w:color w:val="333333"/>
                    </w:rPr>
                    <m:t>a</m:t>
                  </m:r>
                  <m:r>
                    <m:rPr>
                      <m:sty m:val="p"/>
                    </m:rPr>
                    <w:rPr>
                      <w:rStyle w:val="1"/>
                      <w:rFonts w:ascii="Cambria Math" w:hAnsi="Cambria Math"/>
                      <w:color w:val="333333"/>
                    </w:rPr>
                    <w:softHyphen/>
                  </m:r>
                </m:e>
                <m:sup>
                  <m:r>
                    <w:rPr>
                      <w:rStyle w:val="1"/>
                      <w:rFonts w:ascii="Cambria Math" w:hAnsi="Cambria Math"/>
                      <w:color w:val="333333"/>
                    </w:rPr>
                    <m:t>+</m:t>
                  </m:r>
                </m:sup>
              </m:sSup>
            </m:e>
          </m:d>
          <m:r>
            <w:rPr>
              <w:rStyle w:val="1"/>
              <w:rFonts w:ascii="Cambria Math" w:hAnsi="Cambria Math"/>
              <w:color w:val="333333"/>
            </w:rPr>
            <m:t>,</m:t>
          </m:r>
        </m:oMath>
      </m:oMathPara>
    </w:p>
    <w:p w14:paraId="7245F830" w14:textId="77777777" w:rsidR="000F3646" w:rsidRPr="00234DD9" w:rsidRDefault="00000000" w:rsidP="000F3646">
      <w:pPr>
        <w:pStyle w:val="a6"/>
        <w:ind w:firstLine="397"/>
        <w:jc w:val="both"/>
        <w:rPr>
          <w:rStyle w:val="1"/>
          <w:color w:val="333333"/>
        </w:rPr>
      </w:pPr>
      <m:oMathPara>
        <m:oMath>
          <m:f>
            <m:fPr>
              <m:ctrlPr>
                <w:rPr>
                  <w:rStyle w:val="1"/>
                  <w:rFonts w:ascii="Cambria Math" w:hAnsi="Cambria Math"/>
                  <w:i/>
                  <w:color w:val="333333"/>
                  <w:lang w:val="en-US"/>
                </w:rPr>
              </m:ctrlPr>
            </m:fPr>
            <m:num>
              <m:r>
                <w:rPr>
                  <w:rStyle w:val="1"/>
                  <w:rFonts w:ascii="Cambria Math" w:hAnsi="Cambria Math"/>
                  <w:color w:val="333333"/>
                  <w:lang w:val="en-US"/>
                </w:rPr>
                <m:t>d</m:t>
              </m:r>
            </m:num>
            <m:den>
              <m:r>
                <w:rPr>
                  <w:rStyle w:val="1"/>
                  <w:rFonts w:ascii="Cambria Math" w:hAnsi="Cambria Math"/>
                  <w:color w:val="333333"/>
                  <w:lang w:val="en-US"/>
                </w:rPr>
                <m:t>dt</m:t>
              </m:r>
            </m:den>
          </m:f>
          <m:r>
            <w:rPr>
              <w:rStyle w:val="1"/>
              <w:rFonts w:ascii="Cambria Math" w:hAnsi="Cambria Math"/>
              <w:color w:val="333333"/>
              <w:lang w:val="en-US"/>
            </w:rPr>
            <m:t>ρ</m:t>
          </m:r>
          <m:d>
            <m:dPr>
              <m:ctrlPr>
                <w:rPr>
                  <w:rStyle w:val="1"/>
                  <w:rFonts w:ascii="Cambria Math" w:hAnsi="Cambria Math"/>
                  <w:i/>
                  <w:color w:val="333333"/>
                  <w:lang w:val="en-US"/>
                </w:rPr>
              </m:ctrlPr>
            </m:dPr>
            <m:e>
              <m:r>
                <w:rPr>
                  <w:rStyle w:val="1"/>
                  <w:rFonts w:ascii="Cambria Math" w:hAnsi="Cambria Math"/>
                  <w:color w:val="333333"/>
                  <w:lang w:val="en-US"/>
                </w:rPr>
                <m:t>t</m:t>
              </m:r>
            </m:e>
          </m:d>
          <m:r>
            <w:rPr>
              <w:rStyle w:val="1"/>
              <w:rFonts w:ascii="Cambria Math" w:hAnsi="Cambria Math"/>
              <w:color w:val="333333"/>
              <w:lang w:val="en-US"/>
            </w:rPr>
            <m:t>=-i</m:t>
          </m:r>
          <m:d>
            <m:dPr>
              <m:begChr m:val="["/>
              <m:endChr m:val="]"/>
              <m:ctrlPr>
                <w:rPr>
                  <w:rStyle w:val="1"/>
                  <w:rFonts w:ascii="Cambria Math" w:hAnsi="Cambria Math"/>
                  <w:i/>
                  <w:color w:val="333333"/>
                  <w:lang w:val="en-US"/>
                </w:rPr>
              </m:ctrlPr>
            </m:dPr>
            <m:e>
              <m:r>
                <w:rPr>
                  <w:rStyle w:val="1"/>
                  <w:rFonts w:ascii="Cambria Math" w:hAnsi="Cambria Math"/>
                  <w:color w:val="333333"/>
                  <w:lang w:val="en-US"/>
                </w:rPr>
                <m:t>H,ρ</m:t>
              </m:r>
            </m:e>
          </m:d>
          <m:r>
            <w:rPr>
              <w:rStyle w:val="1"/>
              <w:rFonts w:ascii="Cambria Math" w:hAnsi="Cambria Math"/>
              <w:color w:val="333333"/>
              <w:lang w:val="en-US"/>
            </w:rPr>
            <m:t>+</m:t>
          </m:r>
          <m:f>
            <m:fPr>
              <m:ctrlPr>
                <w:rPr>
                  <w:rStyle w:val="1"/>
                  <w:rFonts w:ascii="Cambria Math" w:hAnsi="Cambria Math"/>
                  <w:i/>
                  <w:color w:val="333333"/>
                  <w:lang w:val="en-US"/>
                </w:rPr>
              </m:ctrlPr>
            </m:fPr>
            <m:num>
              <m:r>
                <w:rPr>
                  <w:rStyle w:val="1"/>
                  <w:rFonts w:ascii="Cambria Math" w:hAnsi="Cambria Math"/>
                  <w:color w:val="333333"/>
                  <w:lang w:val="en-US"/>
                </w:rPr>
                <m:t>γ</m:t>
              </m:r>
            </m:num>
            <m:den>
              <m:r>
                <w:rPr>
                  <w:rStyle w:val="1"/>
                  <w:rFonts w:ascii="Cambria Math" w:hAnsi="Cambria Math"/>
                  <w:color w:val="333333"/>
                  <w:lang w:val="en-US"/>
                </w:rPr>
                <m:t>2</m:t>
              </m:r>
            </m:den>
          </m:f>
          <m:d>
            <m:dPr>
              <m:ctrlPr>
                <w:rPr>
                  <w:rStyle w:val="1"/>
                  <w:rFonts w:ascii="Cambria Math" w:hAnsi="Cambria Math"/>
                  <w:i/>
                  <w:color w:val="333333"/>
                  <w:lang w:val="en-US"/>
                </w:rPr>
              </m:ctrlPr>
            </m:dPr>
            <m:e>
              <m:r>
                <w:rPr>
                  <w:rStyle w:val="1"/>
                  <w:rFonts w:ascii="Cambria Math" w:hAnsi="Cambria Math"/>
                  <w:color w:val="333333"/>
                  <w:lang w:val="en-US"/>
                </w:rPr>
                <m:t>aρ</m:t>
              </m:r>
              <m:sSup>
                <m:sSupPr>
                  <m:ctrlPr>
                    <w:rPr>
                      <w:rStyle w:val="1"/>
                      <w:rFonts w:ascii="Cambria Math" w:hAnsi="Cambria Math"/>
                      <w:i/>
                      <w:color w:val="333333"/>
                    </w:rPr>
                  </m:ctrlPr>
                </m:sSupPr>
                <m:e>
                  <m:r>
                    <w:rPr>
                      <w:rStyle w:val="1"/>
                      <w:rFonts w:ascii="Cambria Math" w:hAnsi="Cambria Math"/>
                      <w:color w:val="333333"/>
                    </w:rPr>
                    <m:t>a</m:t>
                  </m:r>
                  <m:r>
                    <m:rPr>
                      <m:sty m:val="p"/>
                    </m:rPr>
                    <w:rPr>
                      <w:rStyle w:val="1"/>
                      <w:rFonts w:ascii="Cambria Math" w:hAnsi="Cambria Math"/>
                      <w:color w:val="333333"/>
                      <w:lang w:val="en-US"/>
                    </w:rPr>
                    <w:softHyphen/>
                  </m:r>
                </m:e>
                <m:sup>
                  <m:r>
                    <w:rPr>
                      <w:rStyle w:val="1"/>
                      <w:rFonts w:ascii="Cambria Math" w:hAnsi="Cambria Math"/>
                      <w:color w:val="333333"/>
                    </w:rPr>
                    <m:t>+</m:t>
                  </m:r>
                </m:sup>
              </m:sSup>
              <m:r>
                <w:rPr>
                  <w:rStyle w:val="1"/>
                  <w:rFonts w:ascii="Cambria Math" w:hAnsi="Cambria Math"/>
                  <w:color w:val="333333"/>
                  <w:lang w:val="en-US"/>
                </w:rPr>
                <m:t>-</m:t>
              </m:r>
              <m:f>
                <m:fPr>
                  <m:ctrlPr>
                    <w:rPr>
                      <w:rStyle w:val="1"/>
                      <w:rFonts w:ascii="Cambria Math" w:hAnsi="Cambria Math"/>
                      <w:i/>
                      <w:color w:val="333333"/>
                      <w:lang w:val="en-US"/>
                    </w:rPr>
                  </m:ctrlPr>
                </m:fPr>
                <m:num>
                  <m:r>
                    <w:rPr>
                      <w:rStyle w:val="1"/>
                      <w:rFonts w:ascii="Cambria Math" w:hAnsi="Cambria Math"/>
                      <w:color w:val="333333"/>
                      <w:lang w:val="en-US"/>
                    </w:rPr>
                    <m:t>1</m:t>
                  </m:r>
                </m:num>
                <m:den>
                  <m:r>
                    <w:rPr>
                      <w:rStyle w:val="1"/>
                      <w:rFonts w:ascii="Cambria Math" w:hAnsi="Cambria Math"/>
                      <w:color w:val="333333"/>
                      <w:lang w:val="en-US"/>
                    </w:rPr>
                    <m:t>2</m:t>
                  </m:r>
                </m:den>
              </m:f>
              <m:d>
                <m:dPr>
                  <m:begChr m:val="{"/>
                  <m:endChr m:val="}"/>
                  <m:ctrlPr>
                    <w:rPr>
                      <w:rStyle w:val="1"/>
                      <w:rFonts w:ascii="Cambria Math" w:hAnsi="Cambria Math"/>
                      <w:i/>
                      <w:color w:val="333333"/>
                      <w:lang w:val="en-US"/>
                    </w:rPr>
                  </m:ctrlPr>
                </m:dPr>
                <m:e>
                  <m:sSup>
                    <m:sSupPr>
                      <m:ctrlPr>
                        <w:rPr>
                          <w:rStyle w:val="1"/>
                          <w:rFonts w:ascii="Cambria Math" w:hAnsi="Cambria Math"/>
                          <w:i/>
                          <w:color w:val="333333"/>
                        </w:rPr>
                      </m:ctrlPr>
                    </m:sSupPr>
                    <m:e>
                      <m:r>
                        <w:rPr>
                          <w:rStyle w:val="1"/>
                          <w:rFonts w:ascii="Cambria Math" w:hAnsi="Cambria Math"/>
                          <w:color w:val="333333"/>
                        </w:rPr>
                        <m:t>a</m:t>
                      </m:r>
                      <m:r>
                        <m:rPr>
                          <m:sty m:val="p"/>
                        </m:rPr>
                        <w:rPr>
                          <w:rStyle w:val="1"/>
                          <w:rFonts w:ascii="Cambria Math" w:hAnsi="Cambria Math"/>
                          <w:color w:val="333333"/>
                          <w:lang w:val="en-US"/>
                        </w:rPr>
                        <w:softHyphen/>
                      </m:r>
                    </m:e>
                    <m:sup>
                      <m:r>
                        <w:rPr>
                          <w:rStyle w:val="1"/>
                          <w:rFonts w:ascii="Cambria Math" w:hAnsi="Cambria Math"/>
                          <w:color w:val="333333"/>
                        </w:rPr>
                        <m:t>+</m:t>
                      </m:r>
                    </m:sup>
                  </m:sSup>
                  <m:r>
                    <w:rPr>
                      <w:rStyle w:val="1"/>
                      <w:rFonts w:ascii="Cambria Math" w:hAnsi="Cambria Math"/>
                      <w:color w:val="333333"/>
                      <w:lang w:val="en-US"/>
                    </w:rPr>
                    <m:t>a,ρ</m:t>
                  </m:r>
                </m:e>
              </m:d>
            </m:e>
          </m:d>
          <m:r>
            <w:rPr>
              <w:rStyle w:val="1"/>
              <w:rFonts w:ascii="Cambria Math" w:hAnsi="Cambria Math"/>
              <w:color w:val="333333"/>
              <w:lang w:val="en-US"/>
            </w:rPr>
            <m:t>.</m:t>
          </m:r>
        </m:oMath>
      </m:oMathPara>
    </w:p>
    <w:p w14:paraId="65911B65" w14:textId="72ED29B3" w:rsidR="00234DD9" w:rsidRDefault="00234DD9" w:rsidP="000F3646">
      <w:pPr>
        <w:pStyle w:val="a6"/>
        <w:ind w:firstLine="397"/>
        <w:jc w:val="both"/>
        <w:rPr>
          <w:color w:val="333333"/>
        </w:rPr>
      </w:pPr>
      <w:r>
        <w:rPr>
          <w:rStyle w:val="1"/>
          <w:color w:val="333333"/>
        </w:rPr>
        <w:t xml:space="preserve">Основным методом исследования данной системы является использование </w:t>
      </w:r>
      <w:r w:rsidRPr="00234DD9">
        <w:rPr>
          <w:color w:val="333333"/>
        </w:rPr>
        <w:t>проекционн</w:t>
      </w:r>
      <w:r>
        <w:rPr>
          <w:color w:val="333333"/>
        </w:rPr>
        <w:t>ого</w:t>
      </w:r>
      <w:r w:rsidRPr="00234DD9">
        <w:rPr>
          <w:color w:val="333333"/>
        </w:rPr>
        <w:t xml:space="preserve"> подход</w:t>
      </w:r>
      <w:r>
        <w:rPr>
          <w:color w:val="333333"/>
        </w:rPr>
        <w:t>а</w:t>
      </w:r>
      <w:r w:rsidRPr="00234DD9">
        <w:rPr>
          <w:color w:val="333333"/>
        </w:rPr>
        <w:t xml:space="preserve"> с обобщенным проектором Кавасаки-</w:t>
      </w:r>
      <w:proofErr w:type="spellStart"/>
      <w:r w:rsidRPr="00234DD9">
        <w:rPr>
          <w:color w:val="333333"/>
        </w:rPr>
        <w:t>Гантона</w:t>
      </w:r>
      <w:proofErr w:type="spellEnd"/>
      <w:r w:rsidRPr="00234DD9">
        <w:rPr>
          <w:color w:val="333333"/>
        </w:rPr>
        <w:t xml:space="preserve"> для параметризации матрицы плотности гауссовским </w:t>
      </w:r>
      <w:proofErr w:type="spellStart"/>
      <w:r w:rsidRPr="00234DD9">
        <w:rPr>
          <w:color w:val="333333"/>
        </w:rPr>
        <w:t>анзацем</w:t>
      </w:r>
      <w:proofErr w:type="spellEnd"/>
      <w:r w:rsidRPr="00234DD9">
        <w:rPr>
          <w:color w:val="333333"/>
        </w:rPr>
        <w:t>, заданным через средние значения операторов рождения/уничтожения и их ковариационные матрицы.</w:t>
      </w:r>
      <w:r>
        <w:rPr>
          <w:color w:val="333333"/>
        </w:rPr>
        <w:t xml:space="preserve"> Такая аппроксимация позволяет использовать теорему Вика для моментов старше 2-го порядка, сводя их к комбинациям моментов 1-го и 2-го, из-за этого необходимо исследовать динамику только этих моментов. </w:t>
      </w:r>
      <w:r w:rsidR="007C7962">
        <w:rPr>
          <w:color w:val="333333"/>
        </w:rPr>
        <w:t>Предложенный нами</w:t>
      </w:r>
      <w:r w:rsidR="007C7962" w:rsidRPr="007C7962">
        <w:rPr>
          <w:color w:val="333333"/>
        </w:rPr>
        <w:t xml:space="preserve"> подход не ограничивается построением уравнений для матрицы плотности или средних значений в рамках заданного </w:t>
      </w:r>
      <w:proofErr w:type="spellStart"/>
      <w:r w:rsidR="007C7962" w:rsidRPr="007C7962">
        <w:rPr>
          <w:color w:val="333333"/>
        </w:rPr>
        <w:t>анзаца</w:t>
      </w:r>
      <w:proofErr w:type="spellEnd"/>
      <w:r w:rsidR="007C7962" w:rsidRPr="007C7962">
        <w:rPr>
          <w:color w:val="333333"/>
        </w:rPr>
        <w:t xml:space="preserve"> — он также обеспечивает систематическое определение </w:t>
      </w:r>
      <w:proofErr w:type="spellStart"/>
      <w:r w:rsidR="007C7962" w:rsidRPr="007C7962">
        <w:rPr>
          <w:color w:val="333333"/>
        </w:rPr>
        <w:t>пертурбативных</w:t>
      </w:r>
      <w:proofErr w:type="spellEnd"/>
      <w:r w:rsidR="007C7962" w:rsidRPr="007C7962">
        <w:rPr>
          <w:color w:val="333333"/>
        </w:rPr>
        <w:t xml:space="preserve"> поправок к основным уравнениям. Хотя исследование сфокусировано на конкретной модели диссипативного осциллятора Керра, метод демонстрирует потенциал для обобщения на широкий класс систем, где динамика в нулевом приближении описывается гауссовскими каналами. Важной особенностью является интерпретация </w:t>
      </w:r>
      <w:proofErr w:type="spellStart"/>
      <w:r w:rsidR="007C7962" w:rsidRPr="007C7962">
        <w:rPr>
          <w:color w:val="333333"/>
        </w:rPr>
        <w:t>негауссовских</w:t>
      </w:r>
      <w:proofErr w:type="spellEnd"/>
      <w:r w:rsidR="007C7962" w:rsidRPr="007C7962">
        <w:rPr>
          <w:color w:val="333333"/>
        </w:rPr>
        <w:t xml:space="preserve"> эффектов в реальных системах </w:t>
      </w:r>
      <w:r w:rsidR="007C7962">
        <w:rPr>
          <w:color w:val="333333"/>
        </w:rPr>
        <w:t xml:space="preserve">как </w:t>
      </w:r>
      <w:r w:rsidR="007C7962" w:rsidRPr="007C7962">
        <w:rPr>
          <w:color w:val="333333"/>
        </w:rPr>
        <w:t>нелинейные гауссовск</w:t>
      </w:r>
      <w:r w:rsidR="007C7962">
        <w:rPr>
          <w:color w:val="333333"/>
        </w:rPr>
        <w:t>ие каналы</w:t>
      </w:r>
      <w:r w:rsidR="007C7962" w:rsidRPr="007C7962">
        <w:rPr>
          <w:color w:val="333333"/>
        </w:rPr>
        <w:t xml:space="preserve">. Это открывает перспективы для </w:t>
      </w:r>
      <w:r w:rsidR="007C7962" w:rsidRPr="007C7962">
        <w:rPr>
          <w:color w:val="333333"/>
        </w:rPr>
        <w:lastRenderedPageBreak/>
        <w:t>применения результатов в квантовой теории информации, где методы анализа непрерывных переменных наиболее развиты именно для гауссовских каналов [</w:t>
      </w:r>
      <w:r w:rsidR="00E7435E">
        <w:rPr>
          <w:color w:val="333333"/>
        </w:rPr>
        <w:t>5</w:t>
      </w:r>
      <w:r w:rsidR="007C7962" w:rsidRPr="007C7962">
        <w:rPr>
          <w:color w:val="333333"/>
        </w:rPr>
        <w:t>].</w:t>
      </w:r>
      <w:r w:rsidR="007C7962">
        <w:rPr>
          <w:color w:val="333333"/>
        </w:rPr>
        <w:t xml:space="preserve"> </w:t>
      </w:r>
    </w:p>
    <w:p w14:paraId="71E73C03" w14:textId="4F39A137" w:rsidR="007C7962" w:rsidRPr="007C7962" w:rsidRDefault="007C7962" w:rsidP="000F3646">
      <w:pPr>
        <w:pStyle w:val="a6"/>
        <w:ind w:firstLine="397"/>
        <w:jc w:val="both"/>
        <w:rPr>
          <w:rStyle w:val="1"/>
          <w:i/>
          <w:color w:val="333333"/>
        </w:rPr>
      </w:pPr>
      <w:r>
        <w:rPr>
          <w:color w:val="333333"/>
        </w:rPr>
        <w:t xml:space="preserve">В данной работе мы рассмотрели два режима системы: режим слабого внешнего поля </w:t>
      </w:r>
      <m:oMath>
        <m:r>
          <w:rPr>
            <w:rFonts w:ascii="Cambria Math" w:hAnsi="Cambria Math"/>
            <w:color w:val="333333"/>
          </w:rPr>
          <m:t>F≪1</m:t>
        </m:r>
      </m:oMath>
      <w:r>
        <w:rPr>
          <w:color w:val="333333"/>
        </w:rPr>
        <w:t xml:space="preserve">, режим сильного внешнего поля </w:t>
      </w:r>
      <m:oMath>
        <m:r>
          <w:rPr>
            <w:rFonts w:ascii="Cambria Math" w:hAnsi="Cambria Math"/>
            <w:color w:val="333333"/>
          </w:rPr>
          <m:t>F≫1</m:t>
        </m:r>
      </m:oMath>
      <w:r w:rsidRPr="007C7962">
        <w:rPr>
          <w:color w:val="333333"/>
        </w:rPr>
        <w:t xml:space="preserve">. </w:t>
      </w:r>
      <w:r>
        <w:rPr>
          <w:color w:val="333333"/>
        </w:rPr>
        <w:t xml:space="preserve">Также было показано, что хоть наш метод использует гауссовскую аппроксимацию он </w:t>
      </w:r>
      <w:r w:rsidRPr="007C7962">
        <w:rPr>
          <w:color w:val="333333"/>
        </w:rPr>
        <w:t>обеспечивает высокую точность предсказаний моментов операторов</w:t>
      </w:r>
      <w:r>
        <w:rPr>
          <w:color w:val="333333"/>
        </w:rPr>
        <w:t xml:space="preserve"> </w:t>
      </w:r>
      <w:r w:rsidRPr="007C7962">
        <w:rPr>
          <w:color w:val="333333"/>
        </w:rPr>
        <w:t xml:space="preserve">даже для сильно </w:t>
      </w:r>
      <w:proofErr w:type="spellStart"/>
      <w:r w:rsidRPr="007C7962">
        <w:rPr>
          <w:color w:val="333333"/>
        </w:rPr>
        <w:t>негауссовских</w:t>
      </w:r>
      <w:proofErr w:type="spellEnd"/>
      <w:r>
        <w:rPr>
          <w:color w:val="333333"/>
        </w:rPr>
        <w:t xml:space="preserve"> - </w:t>
      </w:r>
      <w:proofErr w:type="spellStart"/>
      <w:r>
        <w:rPr>
          <w:color w:val="333333"/>
        </w:rPr>
        <w:t>фоковских</w:t>
      </w:r>
      <w:proofErr w:type="spellEnd"/>
      <w:r w:rsidRPr="007C7962">
        <w:rPr>
          <w:color w:val="333333"/>
        </w:rPr>
        <w:t xml:space="preserve"> состояний</w:t>
      </w:r>
      <w:r>
        <w:rPr>
          <w:color w:val="333333"/>
        </w:rPr>
        <w:t>.</w:t>
      </w:r>
      <w:r w:rsidRPr="007C7962">
        <w:rPr>
          <w:color w:val="333333"/>
        </w:rPr>
        <w:t xml:space="preserve"> </w:t>
      </w:r>
    </w:p>
    <w:p w14:paraId="5816DDC7" w14:textId="77777777" w:rsidR="000F3646" w:rsidRDefault="000F3646" w:rsidP="000F3646">
      <w:pPr>
        <w:pStyle w:val="a6"/>
        <w:spacing w:after="119"/>
        <w:ind w:firstLine="397"/>
        <w:jc w:val="both"/>
        <w:rPr>
          <w:rStyle w:val="1"/>
          <w:color w:val="333333"/>
        </w:rPr>
      </w:pPr>
      <w:bookmarkStart w:id="0" w:name="docs-internal-guid-74d8b12e-7fff-9b0f-d9"/>
      <w:bookmarkEnd w:id="0"/>
      <w:r>
        <w:rPr>
          <w:rStyle w:val="1"/>
          <w:b/>
          <w:color w:val="333333"/>
        </w:rPr>
        <w:t>Примечание</w:t>
      </w:r>
    </w:p>
    <w:p w14:paraId="0046FD28" w14:textId="7D04C168" w:rsidR="000F3646" w:rsidRDefault="000F3646" w:rsidP="000F3646">
      <w:pPr>
        <w:pStyle w:val="a6"/>
        <w:spacing w:after="119" w:line="288" w:lineRule="auto"/>
        <w:ind w:firstLine="397"/>
        <w:jc w:val="both"/>
        <w:rPr>
          <w:rStyle w:val="1"/>
          <w:b/>
          <w:bCs/>
          <w:color w:val="333333"/>
        </w:rPr>
      </w:pPr>
      <w:r>
        <w:rPr>
          <w:rStyle w:val="1"/>
          <w:color w:val="333333"/>
        </w:rPr>
        <w:t xml:space="preserve">Работа выполнена при поддержке Фонда развития теоретической физики и математики «БАЗИС», грант № </w:t>
      </w:r>
      <w:r w:rsidR="00374780" w:rsidRPr="00374780">
        <w:rPr>
          <w:color w:val="333333"/>
        </w:rPr>
        <w:t>24-2-1-</w:t>
      </w:r>
      <w:proofErr w:type="gramStart"/>
      <w:r w:rsidR="00374780" w:rsidRPr="00374780">
        <w:rPr>
          <w:color w:val="333333"/>
        </w:rPr>
        <w:t>44-1</w:t>
      </w:r>
      <w:proofErr w:type="gramEnd"/>
      <w:r>
        <w:rPr>
          <w:rStyle w:val="1"/>
          <w:color w:val="333333"/>
        </w:rPr>
        <w:t>.</w:t>
      </w:r>
    </w:p>
    <w:p w14:paraId="3E6A88A6" w14:textId="77777777" w:rsidR="000F3646" w:rsidRDefault="000F3646" w:rsidP="000F3646">
      <w:pPr>
        <w:pStyle w:val="a6"/>
        <w:ind w:firstLine="397"/>
        <w:jc w:val="both"/>
        <w:rPr>
          <w:rStyle w:val="1"/>
          <w:color w:val="333333"/>
          <w:lang w:val="en-US"/>
        </w:rPr>
      </w:pPr>
      <w:r>
        <w:rPr>
          <w:rStyle w:val="1"/>
          <w:b/>
          <w:bCs/>
          <w:color w:val="333333"/>
        </w:rPr>
        <w:t>Литература</w:t>
      </w:r>
    </w:p>
    <w:p w14:paraId="56B6050B" w14:textId="156085E7" w:rsidR="00E7435E" w:rsidRPr="00374780" w:rsidRDefault="00E7435E" w:rsidP="00E7435E">
      <w:pPr>
        <w:pStyle w:val="a6"/>
        <w:numPr>
          <w:ilvl w:val="0"/>
          <w:numId w:val="2"/>
        </w:numPr>
        <w:rPr>
          <w:rFonts w:cs="Times New Roman"/>
          <w:color w:val="333333"/>
        </w:rPr>
      </w:pPr>
      <w:r w:rsidRPr="00374780">
        <w:rPr>
          <w:rFonts w:cs="Times New Roman"/>
          <w:i/>
          <w:iCs/>
          <w:color w:val="333333"/>
        </w:rPr>
        <w:t xml:space="preserve">Зубарев Д. Н., Морозов В. Г., </w:t>
      </w:r>
      <w:proofErr w:type="spellStart"/>
      <w:r w:rsidRPr="00374780">
        <w:rPr>
          <w:rFonts w:cs="Times New Roman"/>
          <w:i/>
          <w:iCs/>
          <w:color w:val="333333"/>
        </w:rPr>
        <w:t>Рёпке</w:t>
      </w:r>
      <w:proofErr w:type="spellEnd"/>
      <w:r w:rsidRPr="00374780">
        <w:rPr>
          <w:rFonts w:cs="Times New Roman"/>
          <w:i/>
          <w:iCs/>
          <w:color w:val="333333"/>
        </w:rPr>
        <w:t xml:space="preserve"> Г.</w:t>
      </w:r>
      <w:r w:rsidRPr="00374780">
        <w:rPr>
          <w:rFonts w:cs="Times New Roman"/>
          <w:color w:val="333333"/>
        </w:rPr>
        <w:t xml:space="preserve"> Статистическая механика неравновесных процессов. – М.: </w:t>
      </w:r>
      <w:proofErr w:type="spellStart"/>
      <w:r w:rsidRPr="00374780">
        <w:rPr>
          <w:rFonts w:cs="Times New Roman"/>
          <w:color w:val="333333"/>
        </w:rPr>
        <w:t>Физматлит</w:t>
      </w:r>
      <w:proofErr w:type="spellEnd"/>
      <w:r w:rsidRPr="00374780">
        <w:rPr>
          <w:rFonts w:cs="Times New Roman"/>
          <w:color w:val="333333"/>
        </w:rPr>
        <w:t>, 2002.</w:t>
      </w:r>
    </w:p>
    <w:p w14:paraId="1FEC56C2" w14:textId="77777777" w:rsidR="00E7435E" w:rsidRPr="00E7435E" w:rsidRDefault="00E7435E" w:rsidP="00E7435E">
      <w:pPr>
        <w:pStyle w:val="a6"/>
        <w:numPr>
          <w:ilvl w:val="0"/>
          <w:numId w:val="2"/>
        </w:numPr>
        <w:rPr>
          <w:rFonts w:cs="Times New Roman"/>
          <w:color w:val="333333"/>
          <w:lang w:val="en-US"/>
        </w:rPr>
      </w:pPr>
      <w:r w:rsidRPr="00E7435E">
        <w:rPr>
          <w:rFonts w:cs="Times New Roman"/>
          <w:i/>
          <w:iCs/>
          <w:color w:val="333333"/>
          <w:lang w:val="en-US"/>
        </w:rPr>
        <w:t xml:space="preserve">Semin V., </w:t>
      </w:r>
      <w:proofErr w:type="spellStart"/>
      <w:r w:rsidRPr="00E7435E">
        <w:rPr>
          <w:rFonts w:cs="Times New Roman"/>
          <w:i/>
          <w:iCs/>
          <w:color w:val="333333"/>
          <w:lang w:val="en-US"/>
        </w:rPr>
        <w:t>Petruccione</w:t>
      </w:r>
      <w:proofErr w:type="spellEnd"/>
      <w:r w:rsidRPr="00E7435E">
        <w:rPr>
          <w:rFonts w:cs="Times New Roman"/>
          <w:i/>
          <w:iCs/>
          <w:color w:val="333333"/>
          <w:lang w:val="en-US"/>
        </w:rPr>
        <w:t xml:space="preserve"> F.</w:t>
      </w:r>
      <w:r w:rsidRPr="00E7435E">
        <w:rPr>
          <w:rFonts w:cs="Times New Roman"/>
          <w:color w:val="333333"/>
          <w:lang w:val="en-US"/>
        </w:rPr>
        <w:t xml:space="preserve"> Projection Operators in the Theory of Open Quantum Systems // Proceedings of SAIP. 2015. P. 539–544.</w:t>
      </w:r>
    </w:p>
    <w:p w14:paraId="18092D16" w14:textId="7CEBF62D" w:rsidR="000F3646" w:rsidRPr="00374780" w:rsidRDefault="00E7435E" w:rsidP="00E7435E">
      <w:pPr>
        <w:pStyle w:val="a6"/>
        <w:numPr>
          <w:ilvl w:val="0"/>
          <w:numId w:val="2"/>
        </w:numPr>
        <w:rPr>
          <w:rFonts w:cs="Times New Roman"/>
          <w:color w:val="333333"/>
          <w:lang w:val="en-US"/>
        </w:rPr>
      </w:pPr>
      <w:r w:rsidRPr="00E7435E">
        <w:rPr>
          <w:rFonts w:cs="Times New Roman"/>
          <w:i/>
          <w:iCs/>
          <w:color w:val="333333"/>
          <w:lang w:val="en-US"/>
        </w:rPr>
        <w:t xml:space="preserve">Semin V., </w:t>
      </w:r>
      <w:proofErr w:type="spellStart"/>
      <w:r w:rsidRPr="00E7435E">
        <w:rPr>
          <w:rFonts w:cs="Times New Roman"/>
          <w:i/>
          <w:iCs/>
          <w:color w:val="333333"/>
          <w:lang w:val="en-US"/>
        </w:rPr>
        <w:t>Petruccione</w:t>
      </w:r>
      <w:proofErr w:type="spellEnd"/>
      <w:r w:rsidRPr="00E7435E">
        <w:rPr>
          <w:rFonts w:cs="Times New Roman"/>
          <w:i/>
          <w:iCs/>
          <w:color w:val="333333"/>
          <w:lang w:val="en-US"/>
        </w:rPr>
        <w:t xml:space="preserve"> F.</w:t>
      </w:r>
      <w:r w:rsidRPr="00E7435E">
        <w:rPr>
          <w:rFonts w:cs="Times New Roman"/>
          <w:color w:val="333333"/>
          <w:lang w:val="en-US"/>
        </w:rPr>
        <w:t xml:space="preserve"> Dynamical and thermodynamical approaches to open quantum systems // Scientific reports (Nature). 2020. V. 10:2607. DOI: 10.1038/s41598-020-59241-7.</w:t>
      </w:r>
    </w:p>
    <w:p w14:paraId="3313729E" w14:textId="15B704F1" w:rsidR="000F3646" w:rsidRPr="00374780" w:rsidRDefault="00E7435E" w:rsidP="00A01168">
      <w:pPr>
        <w:pStyle w:val="Standard"/>
        <w:numPr>
          <w:ilvl w:val="0"/>
          <w:numId w:val="2"/>
        </w:numPr>
        <w:spacing w:line="240" w:lineRule="auto"/>
        <w:rPr>
          <w:rStyle w:val="1"/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674521">
        <w:rPr>
          <w:rFonts w:ascii="Times New Roman" w:eastAsia="SimSun" w:hAnsi="Times New Roman" w:cs="Times New Roman"/>
          <w:i/>
          <w:iCs/>
          <w:color w:val="333333"/>
          <w:kern w:val="1"/>
          <w:sz w:val="24"/>
          <w:szCs w:val="24"/>
          <w:lang w:val="en-US" w:eastAsia="hi-IN"/>
        </w:rPr>
        <w:t>Meretukov K. Sh., Teretenkov A. E.</w:t>
      </w:r>
      <w:r w:rsidRPr="0037478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 xml:space="preserve"> </w:t>
      </w:r>
      <w:r w:rsidRPr="003747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On time-dependent projectors and on generalization of thermodynamical approach to open quantum systems // Proceedings of the Steklov Institute of Mathematics. 2024. V. 324(1)</w:t>
      </w:r>
      <w:r w:rsidR="00374780" w:rsidRPr="0037478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374780" w:rsidRPr="003747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P. </w:t>
      </w:r>
      <w:r w:rsidRPr="003747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135–152. DOI: </w:t>
      </w:r>
      <w:r w:rsidRPr="0037478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10.1134/S0081543824010140</w:t>
      </w:r>
    </w:p>
    <w:p w14:paraId="7C9D0CB5" w14:textId="0AB86235" w:rsidR="00AE1E1F" w:rsidRPr="00374780" w:rsidRDefault="00E7435E" w:rsidP="000F3646">
      <w:pPr>
        <w:pStyle w:val="Standard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37478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Холево</w:t>
      </w:r>
      <w:proofErr w:type="spellEnd"/>
      <w:r w:rsidRPr="0037478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 А. С.</w:t>
      </w:r>
      <w:r w:rsidRPr="0037478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Квантовые системы, каналы, информация. </w:t>
      </w:r>
      <w:r w:rsidRPr="003747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Pr="0037478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М.: МЦНМО, 2010.</w:t>
      </w:r>
    </w:p>
    <w:sectPr w:rsidR="00AE1E1F" w:rsidRPr="00374780">
      <w:pgSz w:w="11906" w:h="16838"/>
      <w:pgMar w:top="1134" w:right="1361" w:bottom="1259" w:left="136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3D7AD3"/>
    <w:multiLevelType w:val="multilevel"/>
    <w:tmpl w:val="96C0E0C2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strike w:val="0"/>
        <w:dstrike w:val="0"/>
        <w:position w:val="0"/>
        <w:u w:val="none"/>
        <w:effect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position w:val="0"/>
        <w:u w:val="none"/>
        <w:effect w:val="none"/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position w:val="0"/>
        <w:u w:val="none"/>
        <w:effect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position w:val="0"/>
        <w:u w:val="none"/>
        <w:effect w:val="none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position w:val="0"/>
        <w:u w:val="none"/>
        <w:effect w:val="none"/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position w:val="0"/>
        <w:u w:val="none"/>
        <w:effect w:val="none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position w:val="0"/>
        <w:u w:val="none"/>
        <w:effect w:val="none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position w:val="0"/>
        <w:u w:val="none"/>
        <w:effect w:val="none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position w:val="0"/>
        <w:u w:val="none"/>
        <w:effect w:val="none"/>
        <w:vertAlign w:val="baseline"/>
      </w:rPr>
    </w:lvl>
  </w:abstractNum>
  <w:num w:numId="1" w16cid:durableId="1332370423">
    <w:abstractNumId w:val="0"/>
  </w:num>
  <w:num w:numId="2" w16cid:durableId="18531858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E9E"/>
    <w:rsid w:val="000F3646"/>
    <w:rsid w:val="00200584"/>
    <w:rsid w:val="00234DD9"/>
    <w:rsid w:val="00374780"/>
    <w:rsid w:val="003E6BAB"/>
    <w:rsid w:val="0058438A"/>
    <w:rsid w:val="00674521"/>
    <w:rsid w:val="007C7962"/>
    <w:rsid w:val="00864450"/>
    <w:rsid w:val="008D3E9E"/>
    <w:rsid w:val="009D2DEF"/>
    <w:rsid w:val="00A01168"/>
    <w:rsid w:val="00A25F93"/>
    <w:rsid w:val="00A90950"/>
    <w:rsid w:val="00AE1E1F"/>
    <w:rsid w:val="00E12507"/>
    <w:rsid w:val="00E7435E"/>
    <w:rsid w:val="00E82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23A21DF"/>
  <w15:docId w15:val="{4FEF6D45-A5E9-45CA-AD19-607E0B21B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100" w:lineRule="atLeast"/>
    </w:pPr>
    <w:rPr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customStyle="1" w:styleId="10">
    <w:name w:val="Гиперссылка1"/>
    <w:rPr>
      <w:color w:val="000080"/>
      <w:u w:val="single"/>
    </w:rPr>
  </w:style>
  <w:style w:type="character" w:customStyle="1" w:styleId="a3">
    <w:name w:val="Текст выноски Знак"/>
    <w:basedOn w:val="1"/>
    <w:rPr>
      <w:rFonts w:ascii="Tahoma" w:eastAsia="SimSun" w:hAnsi="Tahoma" w:cs="Mangal"/>
      <w:kern w:val="1"/>
      <w:sz w:val="16"/>
      <w:szCs w:val="14"/>
      <w:lang w:eastAsia="hi-IN" w:bidi="hi-IN"/>
    </w:rPr>
  </w:style>
  <w:style w:type="character" w:styleId="a4">
    <w:name w:val="Placeholder Text"/>
    <w:basedOn w:val="1"/>
    <w:rPr>
      <w:color w:val="808080"/>
    </w:rPr>
  </w:style>
  <w:style w:type="character" w:styleId="a5">
    <w:name w:val="Hyperlink"/>
    <w:rPr>
      <w:color w:val="000080"/>
      <w:u w:val="single"/>
    </w:rPr>
  </w:style>
  <w:style w:type="paragraph" w:customStyle="1" w:styleId="11">
    <w:name w:val="Обычный1"/>
    <w:pPr>
      <w:widowControl w:val="0"/>
      <w:suppressAutoHyphens/>
      <w:spacing w:line="100" w:lineRule="atLeast"/>
    </w:pPr>
    <w:rPr>
      <w:rFonts w:eastAsia="SimSun" w:cs="Lucida Sans"/>
      <w:kern w:val="1"/>
      <w:sz w:val="24"/>
      <w:szCs w:val="24"/>
      <w:lang w:eastAsia="hi-IN" w:bidi="hi-IN"/>
    </w:rPr>
  </w:style>
  <w:style w:type="paragraph" w:customStyle="1" w:styleId="12">
    <w:name w:val="Заголовок1"/>
    <w:basedOn w:val="11"/>
    <w:next w:val="a6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6">
    <w:name w:val="Body Text"/>
    <w:basedOn w:val="11"/>
    <w:pPr>
      <w:spacing w:after="120"/>
    </w:pPr>
  </w:style>
  <w:style w:type="paragraph" w:styleId="a7">
    <w:name w:val="List"/>
    <w:basedOn w:val="a6"/>
  </w:style>
  <w:style w:type="paragraph" w:customStyle="1" w:styleId="13">
    <w:name w:val="Название1"/>
    <w:basedOn w:val="11"/>
    <w:pPr>
      <w:suppressLineNumbers/>
      <w:spacing w:before="120" w:after="120"/>
    </w:pPr>
    <w:rPr>
      <w:i/>
      <w:iCs/>
    </w:rPr>
  </w:style>
  <w:style w:type="paragraph" w:customStyle="1" w:styleId="14">
    <w:name w:val="Указатель1"/>
    <w:basedOn w:val="11"/>
    <w:pPr>
      <w:suppressLineNumbers/>
    </w:pPr>
  </w:style>
  <w:style w:type="paragraph" w:styleId="a8">
    <w:name w:val="Balloon Text"/>
    <w:basedOn w:val="11"/>
    <w:rPr>
      <w:rFonts w:ascii="Tahoma" w:hAnsi="Tahoma" w:cs="Mangal"/>
      <w:sz w:val="16"/>
      <w:szCs w:val="14"/>
    </w:rPr>
  </w:style>
  <w:style w:type="numbering" w:customStyle="1" w:styleId="WWNum1">
    <w:name w:val="WWNum1"/>
    <w:rsid w:val="00E7435E"/>
    <w:pPr>
      <w:numPr>
        <w:numId w:val="1"/>
      </w:numPr>
    </w:pPr>
  </w:style>
  <w:style w:type="paragraph" w:customStyle="1" w:styleId="Standard">
    <w:name w:val="Standard"/>
    <w:rsid w:val="00E7435E"/>
    <w:pPr>
      <w:suppressAutoHyphens/>
      <w:autoSpaceDN w:val="0"/>
      <w:spacing w:line="276" w:lineRule="auto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character" w:styleId="a9">
    <w:name w:val="Unresolved Mention"/>
    <w:basedOn w:val="a0"/>
    <w:uiPriority w:val="99"/>
    <w:semiHidden/>
    <w:unhideWhenUsed/>
    <w:rsid w:val="00A25F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1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eretukov.khazret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678</Words>
  <Characters>3866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Khazret Meretukov</dc:creator>
  <cp:lastModifiedBy>Khazret Meretukov</cp:lastModifiedBy>
  <cp:revision>3</cp:revision>
  <cp:lastPrinted>2112-12-31T21:00:00Z</cp:lastPrinted>
  <dcterms:created xsi:type="dcterms:W3CDTF">2025-03-02T15:24:00Z</dcterms:created>
  <dcterms:modified xsi:type="dcterms:W3CDTF">2025-03-02T15:32:00Z</dcterms:modified>
</cp:coreProperties>
</file>