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Билинейное тождество и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τ-функция </w:t>
      </w:r>
      <w:r>
        <w:rPr>
          <w:rFonts w:cs="Times New Roman" w:ascii="Times New Roman" w:hAnsi="Times New Roman"/>
          <w:b/>
          <w:sz w:val="24"/>
          <w:szCs w:val="24"/>
        </w:rPr>
        <w:t>U</w:t>
      </w:r>
      <w:r>
        <w:rPr>
          <w:rFonts w:cs="Times New Roman" w:ascii="Times New Roman" w:hAnsi="Times New Roman"/>
          <w:b/>
          <w:sz w:val="24"/>
          <w:szCs w:val="24"/>
          <w:vertAlign w:val="subscript"/>
        </w:rPr>
        <w:t>q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b/>
          <w:sz w:val="24"/>
          <w:szCs w:val="24"/>
        </w:rPr>
        <w:t>Sl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(3)) для не группового элемента.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ru-RU"/>
        </w:rPr>
        <w:t>Чепурной М.А.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ИТМФ МГУ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студент</w:t>
      </w:r>
    </w:p>
    <w:p>
      <w:pPr>
        <w:pStyle w:val="Normal"/>
        <w:spacing w:lineRule="auto" w:line="240" w:before="0" w:after="0"/>
        <w:jc w:val="center"/>
        <w:rPr>
          <w:rFonts w:ascii="Roboto" w:hAnsi="Roboto"/>
          <w:color w:val="1F1F1F"/>
          <w:sz w:val="21"/>
          <w:szCs w:val="21"/>
          <w:shd w:fill="E9EEF6" w:val="clear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highlight w:val="white"/>
        </w:rPr>
        <w:t>E–mail:</w:t>
      </w:r>
      <w:r>
        <w:rPr>
          <w:rFonts w:ascii="Roboto" w:hAnsi="Roboto"/>
          <w:color w:val="1F1F1F"/>
          <w:sz w:val="21"/>
          <w:szCs w:val="21"/>
          <w:shd w:fill="E9EEF6" w:val="clear"/>
        </w:rPr>
        <w:t xml:space="preserve"> </w:t>
      </w:r>
      <w:hyperlink r:id="rId2">
        <w:r>
          <w:rPr>
            <w:rStyle w:val="Hyperlink"/>
            <w:rFonts w:ascii="Roboto" w:hAnsi="Roboto"/>
            <w:sz w:val="21"/>
            <w:szCs w:val="21"/>
            <w:shd w:fill="E9EEF6" w:val="clear"/>
          </w:rPr>
          <w:t>chepurnoi.ma22@physics.msu.ru</w:t>
        </w:r>
      </w:hyperlink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1F1F1F"/>
          <w:sz w:val="24"/>
          <w:szCs w:val="24"/>
          <w:shd w:fill="E9EEF6" w:val="clear"/>
        </w:rPr>
      </w:pPr>
      <w:r>
        <w:rPr>
          <w:rFonts w:cs="Times New Roman" w:ascii="Times New Roman" w:hAnsi="Times New Roman"/>
          <w:color w:val="1F1F1F"/>
          <w:sz w:val="24"/>
          <w:szCs w:val="24"/>
          <w:shd w:fill="E9EEF6" w:val="clear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eastAsia="" w:cs="Times New Roman" w:eastAsiaTheme="minorEastAsia"/>
          <w:sz w:val="24"/>
          <w:szCs w:val="24"/>
          <w:lang w:val="ru-RU"/>
        </w:rPr>
      </w:pPr>
      <w:r>
        <w:rPr/>
        <w:t>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епертурбативные статистические суммы квантовых теорий, как функции констант связи и граничных условий, принадлежат к классу τ-функций и удовлетворяют специальному типу билинейных соотношений Хироты. Чтобы это утверждение было достаточно общим, необходимо иметь общее определение τ-функции, приводящее к правильным билинейным соотношениям, однако до сих пор такое определение построено не было.  </w:t>
      </w:r>
      <w:r>
        <w:rPr>
          <w:rFonts w:cs="Times New Roman" w:ascii="Times New Roman" w:hAnsi="Times New Roman"/>
          <w:sz w:val="24"/>
          <w:szCs w:val="24"/>
          <w:lang w:val="ru-RU"/>
        </w:rPr>
        <w:t>В классическом определении τ-функции для интегрируемых иерархий Тоды и КП, на матричные элементы накладывается требование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быть групповыми элементами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 копроизведением, определенным, как </w:t>
      </w:r>
      <w:r>
        <w:rPr>
          <w:rFonts w:cs="Times New Roman" w:ascii="Times New Roman" w:hAnsi="Times New Roman"/>
          <w:sz w:val="24"/>
          <w:szCs w:val="24"/>
          <w:lang w:val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∆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g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r>
          <w:rPr>
            <w:rFonts w:ascii="Cambria Math" w:hAnsi="Cambria Math"/>
          </w:rPr>
          <m:t xml:space="preserve">⨂</m:t>
        </m:r>
        <m:r>
          <w:rPr>
            <w:rFonts w:ascii="Cambria Math" w:hAnsi="Cambria Math"/>
          </w:rPr>
          <m:t xml:space="preserve">g</m:t>
        </m:r>
      </m:oMath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eastAsia="" w:cs="Times New Roman" w:eastAsiaTheme="minorEastAsia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В данной работе рассматриваются τ-функции для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q-деформированных универсальных обертывающих алгебр Ли (UEA), </w:t>
      </w:r>
      <w:r>
        <w:rPr>
          <w:rFonts w:cs="Times New Roman" w:ascii="Times New Roman" w:hAnsi="Times New Roman"/>
          <w:sz w:val="24"/>
          <w:szCs w:val="24"/>
          <w:lang w:val="ru-RU"/>
        </w:rPr>
        <w:t>деформированные алгебры появляются во многих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актуальных задачах современной теоретической физики. В </w:t>
      </w:r>
      <w:r>
        <w:rPr>
          <w:rFonts w:cs="Times New Roman" w:ascii="Times New Roman" w:hAnsi="Times New Roman"/>
          <w:sz w:val="24"/>
          <w:szCs w:val="24"/>
          <w:lang w:val="ru-RU"/>
        </w:rPr>
        <w:t>q-</w:t>
      </w:r>
      <w:r>
        <w:rPr>
          <w:rFonts w:cs="Times New Roman" w:ascii="Times New Roman" w:hAnsi="Times New Roman"/>
          <w:sz w:val="24"/>
          <w:szCs w:val="24"/>
          <w:lang w:val="ru-RU"/>
        </w:rPr>
        <w:t>деформированных алгебрах отсутствуют групповые элементы, поэтому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один из </w:t>
      </w:r>
      <w:r>
        <w:rPr>
          <w:rFonts w:cs="Times New Roman" w:ascii="Times New Roman" w:hAnsi="Times New Roman"/>
          <w:sz w:val="24"/>
          <w:szCs w:val="24"/>
          <w:lang w:val="ru-RU"/>
        </w:rPr>
        <w:t>новых подходов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для построения теории интегрируемых систем для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q-деформированных алгебр, предполагает отказ от ограничения на элемент группы. </w:t>
      </w: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 xml:space="preserve"> Вместо группового элемента используется произвольный элемент </w:t>
      </w: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>UEA</w:t>
      </w: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>. Существенно, что при таком определении τ-функции сохраняется интегрируемость, как наличие коммутирующих потоков, чего лишены другие обобщения классического определения.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 xml:space="preserve">В результате работы впервые было получено билинейное тождество и вычислена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τ</w:t>
      </w: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 xml:space="preserve">-функция для 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  <w:vertAlign w:val="subscript"/>
        </w:rPr>
        <w:t>q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sz w:val="24"/>
          <w:szCs w:val="24"/>
          <w:lang w:val="ru-RU"/>
        </w:rPr>
        <w:t>sl</w:t>
      </w:r>
      <w:r>
        <w:rPr>
          <w:rFonts w:cs="Times New Roman" w:ascii="Times New Roman" w:hAnsi="Times New Roman"/>
          <w:sz w:val="24"/>
          <w:szCs w:val="24"/>
          <w:lang w:val="ru-RU"/>
        </w:rPr>
        <w:t>(3)) в первом и втором фундаментальных представлениях в случае негруппового элемента.</w:t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Литература.</w:t>
      </w:r>
    </w:p>
    <w:p>
      <w:pPr>
        <w:pStyle w:val="Normal"/>
        <w:spacing w:lineRule="auto" w:line="240" w:before="0" w:after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val="ru-RU"/>
        </w:rPr>
        <w:t>1.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hyperlink r:id="rId3">
        <w:r>
          <w:rPr>
            <w:rStyle w:val="ListLabel2"/>
            <w:rFonts w:cs="Times New Roman" w:ascii="Times New Roman" w:hAnsi="Times New Roman"/>
            <w:sz w:val="24"/>
            <w:szCs w:val="24"/>
          </w:rPr>
          <w:t>A.Gerasimov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4">
        <w:r>
          <w:rPr>
            <w:rStyle w:val="ListLabel2"/>
            <w:rFonts w:cs="Times New Roman" w:ascii="Times New Roman" w:hAnsi="Times New Roman"/>
            <w:sz w:val="24"/>
            <w:szCs w:val="24"/>
          </w:rPr>
          <w:t>S.Khoroshkin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5">
        <w:r>
          <w:rPr>
            <w:rStyle w:val="ListLabel2"/>
            <w:rFonts w:cs="Times New Roman" w:ascii="Times New Roman" w:hAnsi="Times New Roman"/>
            <w:sz w:val="24"/>
            <w:szCs w:val="24"/>
          </w:rPr>
          <w:t>D.Lebedev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6">
        <w:r>
          <w:rPr>
            <w:rStyle w:val="ListLabel2"/>
            <w:rFonts w:cs="Times New Roman" w:ascii="Times New Roman" w:hAnsi="Times New Roman"/>
            <w:sz w:val="24"/>
            <w:szCs w:val="24"/>
          </w:rPr>
          <w:t>A.Mironov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7">
        <w:r>
          <w:rPr>
            <w:rStyle w:val="ListLabel2"/>
            <w:rFonts w:cs="Times New Roman" w:ascii="Times New Roman" w:hAnsi="Times New Roman"/>
            <w:sz w:val="24"/>
            <w:szCs w:val="24"/>
          </w:rPr>
          <w:t>A.Morozov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“Generalized Hirota Equations and Representation Theory. I. The case of Sl(2) and </w:t>
      </w:r>
      <w:r>
        <w:rPr>
          <w:rFonts w:cs="Times New Roman" w:ascii="Times New Roman" w:hAnsi="Times New Roman"/>
          <w:sz w:val="24"/>
          <w:szCs w:val="24"/>
        </w:rPr>
        <w:t>Sl</w:t>
      </w:r>
      <w:r>
        <w:rPr>
          <w:rFonts w:cs="Times New Roman" w:ascii="Times New Roman" w:hAnsi="Times New Roman"/>
          <w:sz w:val="24"/>
          <w:szCs w:val="24"/>
          <w:vertAlign w:val="subscript"/>
        </w:rPr>
        <w:t>q</w:t>
      </w:r>
      <w:r>
        <w:rPr>
          <w:rFonts w:cs="Times New Roman" w:ascii="Times New Roman" w:hAnsi="Times New Roman"/>
          <w:sz w:val="24"/>
          <w:szCs w:val="24"/>
        </w:rPr>
        <w:t>(2)”arxiv:9405011</w:t>
      </w:r>
    </w:p>
    <w:p>
      <w:pPr>
        <w:pStyle w:val="NoSpacing"/>
        <w:ind w:firstLine="397"/>
        <w:rPr>
          <w:rFonts w:ascii="Helvetica" w:hAnsi="Helvetica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  <w:t>2.A.Mironov -</w:t>
      </w:r>
      <w:r>
        <w:rPr>
          <w:rFonts w:ascii="Helvetica" w:hAnsi="Helvetica"/>
          <w:color w:val="000000"/>
        </w:rPr>
        <w:t xml:space="preserve"> “</w:t>
      </w:r>
      <w:r>
        <w:rPr>
          <w:rFonts w:cs="Times New Roman" w:ascii="Times New Roman" w:hAnsi="Times New Roman"/>
          <w:sz w:val="24"/>
          <w:szCs w:val="24"/>
        </w:rPr>
        <w:t>Quantum Deformations of τ-functions, Bilinear Identities and Representation Theory” arxiv:940190</w:t>
      </w:r>
    </w:p>
    <w:p>
      <w:pPr>
        <w:pStyle w:val="Normal"/>
        <w:spacing w:lineRule="auto" w:line="240" w:before="0" w:after="0"/>
        <w:ind w:firstLine="397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3.A.Mironov, V.Mishnyakov and A.Morozov – “Tau-functions beyond the group elements”</w:t>
      </w:r>
    </w:p>
    <w:p>
      <w:pPr>
        <w:pStyle w:val="Normal"/>
        <w:spacing w:lineRule="auto" w:line="240" w:before="0" w:after="0"/>
        <w:ind w:firstLine="397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arXiv:2312.00695</w:t>
      </w:r>
      <w:sdt>
        <w:sdtPr>
          <w:placeholder>
            <w:docPart w:val="DefaultPlaceholder_2098659788"/>
          </w:placeholder>
          <w:id w:val="945810104"/>
          <w:showingPlcHdr/>
        </w:sdtPr>
        <w:sdtContent>
          <w:r>
            <w:rPr>
              <w:rFonts w:eastAsia="" w:cs="Times New Roman" w:ascii="Times New Roman" w:hAnsi="Times New Roman" w:eastAsiaTheme="minorEastAsia"/>
              <w:sz w:val="24"/>
              <w:szCs w:val="24"/>
            </w:rPr>
          </w:r>
          <w:r>
            <w:rPr/>
          </w:r>
          <m:oMath xmlns:m="http://schemas.openxmlformats.org/officeDocument/2006/math">
            <m:r>
              <w:rPr>
                <w:rFonts w:ascii="Cambria Math" w:hAnsi="Cambria Math"/>
              </w:rPr>
              <m:t xml:space="preserve">Место</m:t>
            </m:r>
            <m:r>
              <w:rPr>
                <w:rFonts w:ascii="Cambria Math" w:hAnsi="Cambria Math"/>
              </w:rPr>
              <m:t xml:space="preserve">для</m:t>
            </m:r>
            <m:r>
              <w:rPr>
                <w:rFonts w:ascii="Cambria Math" w:hAnsi="Cambria Math"/>
              </w:rPr>
              <m:t xml:space="preserve">уравнения</m:t>
            </m:r>
            <m:r>
              <w:rPr>
                <w:rFonts w:ascii="Cambria Math" w:hAnsi="Cambria Math"/>
              </w:rPr>
              <m:t xml:space="preserve">.</m:t>
            </m:r>
          </m:oMath>
          <w:r>
            <w:rPr/>
          </w:r>
        </w:sdtContent>
      </w:sdt>
    </w:p>
    <w:sectPr>
      <w:type w:val="nextPage"/>
      <w:pgSz w:w="12240" w:h="15840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boto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1"/>
    <w:uiPriority w:val="9"/>
    <w:qFormat/>
    <w:rsid w:val="00f538d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c37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3701"/>
    <w:rPr>
      <w:color w:themeColor="hyperlink" w:val="0563C1"/>
      <w:u w:val="single"/>
    </w:rPr>
  </w:style>
  <w:style w:type="character" w:styleId="1" w:customStyle="1">
    <w:name w:val="Заголовок 1 Знак"/>
    <w:basedOn w:val="DefaultParagraphFont"/>
    <w:link w:val="Heading1"/>
    <w:uiPriority w:val="9"/>
    <w:qFormat/>
    <w:rsid w:val="00f538d0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mi" w:customStyle="1">
    <w:name w:val="mi"/>
    <w:basedOn w:val="DefaultParagraphFont"/>
    <w:qFormat/>
    <w:rsid w:val="00f538d0"/>
    <w:rPr/>
  </w:style>
  <w:style w:type="character" w:styleId="mo" w:customStyle="1">
    <w:name w:val="mo"/>
    <w:basedOn w:val="DefaultParagraphFont"/>
    <w:qFormat/>
    <w:rsid w:val="00f538d0"/>
    <w:rPr/>
  </w:style>
  <w:style w:type="character" w:styleId="mn" w:customStyle="1">
    <w:name w:val="mn"/>
    <w:basedOn w:val="DefaultParagraphFont"/>
    <w:qFormat/>
    <w:rsid w:val="00f538d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f538d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epurnoi.ma22@physics.msu.ru" TargetMode="External"/><Relationship Id="rId3" Type="http://schemas.openxmlformats.org/officeDocument/2006/relationships/hyperlink" Target="https://arxiv.org/search/hep-th?searchtype=author&amp;query=A.Gerasimov" TargetMode="External"/><Relationship Id="rId4" Type="http://schemas.openxmlformats.org/officeDocument/2006/relationships/hyperlink" Target="https://arxiv.org/search/hep-th?searchtype=author&amp;query=S.Khoroshkin" TargetMode="External"/><Relationship Id="rId5" Type="http://schemas.openxmlformats.org/officeDocument/2006/relationships/hyperlink" Target="https://arxiv.org/search/hep-th?searchtype=author&amp;query=D.Lebedev" TargetMode="External"/><Relationship Id="rId6" Type="http://schemas.openxmlformats.org/officeDocument/2006/relationships/hyperlink" Target="https://arxiv.org/search/hep-th?searchtype=author&amp;query=A.Mironov" TargetMode="External"/><Relationship Id="rId7" Type="http://schemas.openxmlformats.org/officeDocument/2006/relationships/hyperlink" Target="https://arxiv.org/search/hep-th?searchtype=author&amp;query=A.Morozov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9B3AC-6666-4EE6-B47B-13AF095E701A}"/>
      </w:docPartPr>
      <w:docPartBody>
        <w:p w:rsidR="00D54195" w:rsidRDefault="00967EC2">
          <w:r w:rsidRPr="000E2622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C2"/>
    <w:rsid w:val="00967EC2"/>
    <w:rsid w:val="00D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E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3C25-11E9-43E5-A650-6F6EF760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LibreOffice/24.2.7.2$Linux_X86_64 LibreOffice_project/420$Build-2</Application>
  <AppVersion>15.0000</AppVersion>
  <Pages>1</Pages>
  <Words>227</Words>
  <Characters>1727</Characters>
  <CharactersWithSpaces>1945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2025-03-09T10:40:00Z</dcterms:created>
  <dc:creator>чепурной максим</dc:creator>
  <dc:description/>
  <dc:language>en-US</dc:language>
  <cp:lastModifiedBy/>
  <dcterms:modified xsi:type="dcterms:W3CDTF">2025-03-09T22:04:56Z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