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/>
        <w:spacing/>
        <w:ind w:firstLine="0"/>
        <w:contextualSpacing w:val="false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Идентификация и сравнительный анализ пигментов во фрагментах древнерусской фресковой живописи храмов Великого Новгорода методом микроспектроскопии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комбинационного рассеяния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uppressLineNumbers w:val="false"/>
        <w:pBdr/>
        <w:spacing w:line="240" w:lineRule="auto"/>
        <w:ind w:firstLine="397"/>
        <w:contextualSpacing w:val="false"/>
        <w:jc w:val="center"/>
        <w:rPr>
          <w:rFonts w:ascii="Times New Roman" w:hAnsi="Times New Roman" w:eastAsia="Times New Roman" w:cs="Times New Roman"/>
          <w:b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Кочетков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М.И. </w:t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4"/>
          <w:szCs w:val="24"/>
          <w:highlight w:val="none"/>
        </w:rPr>
      </w:r>
    </w:p>
    <w:p>
      <w:pPr>
        <w:suppressLineNumbers w:val="false"/>
        <w:pBdr/>
        <w:spacing w:line="240" w:lineRule="auto"/>
        <w:ind w:firstLine="0"/>
        <w:contextualSpacing w:val="false"/>
        <w:jc w:val="center"/>
        <w:rPr/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Студент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r>
      <w:r/>
    </w:p>
    <w:p>
      <w:pPr>
        <w:suppressLineNumbers w:val="false"/>
        <w:pBdr/>
        <w:spacing w:line="240" w:lineRule="auto"/>
        <w:ind w:firstLine="397"/>
        <w:contextualSpacing w:val="false"/>
        <w:jc w:val="center"/>
        <w:rPr>
          <w:rFonts w:ascii="Times New Roman" w:hAnsi="Times New Roman" w:eastAsia="Times New Roman" w:cs="Times New Roman"/>
          <w:bCs w:val="0"/>
          <w:i/>
          <w:i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Московский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государственный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университет имени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М.В.Ломоносова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>
        <w:br/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физический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факультет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, Москва, Россия</w:t>
      </w:r>
      <w:r>
        <w:br/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E–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mail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white"/>
        </w:rPr>
      </w:r>
      <w:hyperlink r:id="rId10" w:tooltip="http://kochetkovmi@my.msu.ru" w:history="1">
        <w:r>
          <w:rPr>
            <w:rStyle w:val="891"/>
            <w:rFonts w:ascii="Times New Roman" w:hAnsi="Times New Roman" w:eastAsia="Times New Roman" w:cs="Times New Roman"/>
            <w:i/>
            <w:iCs/>
            <w:color w:val="000000" w:themeColor="text1"/>
            <w:sz w:val="24"/>
            <w:szCs w:val="24"/>
            <w:highlight w:val="white"/>
            <w:u w:val="none"/>
          </w:rPr>
          <w:t xml:space="preserve">kochetkovmi</w:t>
        </w:r>
        <w:r>
          <w:rPr>
            <w:rStyle w:val="891"/>
            <w:rFonts w:ascii="Times New Roman" w:hAnsi="Times New Roman" w:eastAsia="Times New Roman" w:cs="Times New Roman"/>
            <w:i/>
            <w:iCs/>
            <w:color w:val="000000" w:themeColor="text1"/>
            <w:sz w:val="24"/>
            <w:szCs w:val="24"/>
            <w:highlight w:val="white"/>
            <w:u w:val="none"/>
          </w:rPr>
          <w:t xml:space="preserve">@my.msu.ru</w:t>
        </w:r>
        <w:r>
          <w:rPr>
            <w:rStyle w:val="891"/>
            <w:rFonts w:ascii="Times New Roman" w:hAnsi="Times New Roman" w:eastAsia="Times New Roman" w:cs="Times New Roman"/>
            <w:i/>
            <w:iCs/>
            <w:sz w:val="24"/>
            <w:szCs w:val="24"/>
            <w:u w:val="none"/>
          </w:rPr>
        </w:r>
        <w:r>
          <w:rPr>
            <w:rStyle w:val="891"/>
            <w:rFonts w:ascii="Times New Roman" w:hAnsi="Times New Roman" w:eastAsia="Times New Roman" w:cs="Times New Roman"/>
            <w:i/>
            <w:iCs/>
            <w:color w:val="000000" w:themeColor="text1"/>
            <w:sz w:val="24"/>
            <w:szCs w:val="24"/>
            <w:u w:val="none"/>
          </w:rPr>
        </w:r>
      </w:hyperlink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Cs w:val="0"/>
          <w:i/>
          <w:iCs/>
          <w:color w:val="000000" w:themeColor="text1"/>
          <w:sz w:val="24"/>
          <w:szCs w:val="24"/>
          <w:highlight w:val="none"/>
        </w:rPr>
      </w:r>
    </w:p>
    <w:p>
      <w:pPr>
        <w:suppressLineNumbers w:val="false"/>
        <w:pBdr/>
        <w:spacing w:after="100" w:afterAutospacing="1" w:before="100" w:beforeAutospacing="1" w:line="240" w:lineRule="auto"/>
        <w:ind w:firstLine="397"/>
        <w:contextualSpacing w:val="false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последнее время все более широкое применение находят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оптические методы для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диагностики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исследования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предметов искусства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Например, метод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спектроскопии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широко используется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идентификации веществ, составляющих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археологически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наход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объект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культурного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наследия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[1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2]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uppressLineNumbers w:val="false"/>
        <w:pBdr/>
        <w:spacing w:after="0" w:afterAutospacing="1" w:beforeAutospacing="1" w:line="240" w:lineRule="auto"/>
        <w:ind w:firstLine="397"/>
        <w:contextualSpacing w:val="false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Древняя фресковая живопись хорошо сохраняется до наших дней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обусловлен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тем, что пигмент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наносится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влажную известковую штукатурку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Процесс высыхания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штукатурки связан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взаимодейств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ием 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ашен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извест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(гидроксид кальция) с углекислым газом из воздуха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что приводит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карбонизации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гидроксид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кальция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образованием кальцита - </w:t>
      </w:r>
      <m:oMath>
        <m:r>
          <w:rPr>
            <w:rFonts w:ascii="Cambria Math" w:hAnsi="Cambria Math"/>
          </w:rPr>
          <m:rPr/>
          <m:t>CaC</m:t>
        </m:r>
        <m:sSub>
          <m:sSubPr>
            <m:ctrlPr>
              <w:rPr>
                <w:rFonts w:ascii="Cambria Math" w:hAnsi="Cambria Math" w:eastAsia="Cambria Math" w:cs="Cambria Math"/>
              </w:rPr>
            </m:ctrlPr>
          </m:sSubPr>
          <m:e>
            <m:r>
              <w:rPr>
                <w:rFonts w:ascii="Cambria Math" w:hAnsi="Cambria Math"/>
              </w:rPr>
              <m:rPr/>
              <m:t>O</m:t>
            </m:r>
          </m:e>
          <m:sub>
            <m:r>
              <w:rPr>
                <w:rFonts w:ascii="Cambria Math" w:hAnsi="Cambria Math"/>
              </w:rPr>
              <m:rPr/>
              <m:t>3</m:t>
            </m: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, который является основным компонентом фрески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 высыхании фрески красочный слой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встраивается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поверхност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стены и, защищённый тонким слоем кальцита,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остается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устойчив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различным воздействиям времени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окружающей среды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uppressLineNumbers w:val="false"/>
        <w:pBdr/>
        <w:spacing w:after="0" w:afterAutospacing="1" w:beforeAutospacing="1" w:line="240" w:lineRule="auto"/>
        <w:ind w:firstLine="397"/>
        <w:contextualSpacing w:val="false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Великий Новгород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один из центров древнерусского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монументального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зодчества   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XI-X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V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ru-RU"/>
        </w:rPr>
        <w:t xml:space="preserve">веков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Фреск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овая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живопись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древне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новгородских храмов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представля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ет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большой интерес для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археологов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реставраторов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 историков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В некоторых храмах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например, в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Софийск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ом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Собор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сохранились примеры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древне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русской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фресковой живописи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Однако за время своего существования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древние храмы достраивались и перестраивались. Например церковь Входа в Иерусалим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XIV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ru-RU"/>
        </w:rPr>
        <w:t xml:space="preserve">века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была перестроена в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XVIII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ru-RU"/>
        </w:rPr>
        <w:t xml:space="preserve">веке.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 Некоторые храмы были разрушены. Например, во время Великой Отечественной войны были разрушены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загородные церкви Благовещения на городище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Спаса на Ковалёве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Успения на Волотовом поле. Их росписи датируются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XII – XIV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ru-RU"/>
        </w:rPr>
        <w:t xml:space="preserve">веками.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Фраг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менты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росписей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археологи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находят во время раскопок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окрестностях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древних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построек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[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А в 2009 - 2011 годах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фрагменты штукатурки с фресковой живописью были найдены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во время подводных археологических исследований на месте старого моста через р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еку Волхов.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По предположению археологов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фрагменты,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сбитые со стен во время одной из перестроек церкви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были использованы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как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строительный материал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для постройки моста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Результатом работы искусствоведов стала гипотеза о том, что фрагменты являлись частью живописи Софийского Собора и датировались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en-US"/>
        </w:rPr>
        <w:t xml:space="preserve">XII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веком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</w:r>
    </w:p>
    <w:p>
      <w:pPr>
        <w:suppressLineNumbers w:val="false"/>
        <w:pBdr/>
        <w:spacing w:after="0" w:afterAutospacing="1" w:beforeAutospacing="1" w:line="240" w:lineRule="auto"/>
        <w:ind w:firstLine="397"/>
        <w:contextualSpacing w:val="false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4"/>
          <w:szCs w:val="24"/>
        </w:rPr>
        <w:t xml:space="preserve">Целью работы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являлась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идентификация пигментов, использованных в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фресковой живописи четырёх разных церквей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XII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ru-RU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XIV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ru-RU"/>
        </w:rPr>
        <w:t xml:space="preserve">веков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и сравнение палитр их пигментов между собой, а так же с уже известными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ru-RU"/>
        </w:rPr>
        <w:t xml:space="preserve">палитрами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из других исследований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[4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5]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uppressLineNumbers w:val="false"/>
        <w:pBdr/>
        <w:spacing w:after="0" w:afterAutospacing="1" w:beforeAutospacing="1" w:line="240" w:lineRule="auto"/>
        <w:ind w:firstLine="397"/>
        <w:contextualSpacing w:val="false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Измерения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спектров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проводилось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 помощью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конфокального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микроспектрометра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DXR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Raman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Microspectrometer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длина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волн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возбуждения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720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535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нм и 633 нм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 объективом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LMPlanFL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N 50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x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Мощность излучения составляла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 1 мВт до 24 мВт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лазерное пятно на образце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мкм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время накопления одного спектра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составляло от 2 до 30 минут, в зависимости от мощности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Всего было исследовано 5 наборов фрагментов из четырёх церквей.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Всего было исследован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88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фрагментов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разного цвета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Фрагменты представляли собой куски штукатурки,  средней толщиной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15 мм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площадью от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 </w:t>
      </w:r>
      <m:oMath>
        <m:r>
          <w:rPr>
            <w:rFonts w:ascii="Cambria Math" w:hAnsi="Cambria Math"/>
          </w:rPr>
          <m:rPr/>
          <m:t>с</m:t>
        </m:r>
        <m:sSup>
          <m:sSupPr>
            <m:ctrlPr>
              <w:rPr>
                <w:rFonts w:ascii="Cambria Math" w:hAnsi="Cambria Math" w:eastAsia="Cambria Math" w:cs="Cambria Math"/>
              </w:rPr>
            </m:ctrlPr>
          </m:sSupPr>
          <m:e>
            <m:r>
              <w:rPr>
                <w:rFonts w:ascii="Cambria Math" w:hAnsi="Cambria Math"/>
              </w:rPr>
              <m:rPr/>
              <m:t>м</m:t>
            </m:r>
          </m:e>
          <m:sup>
            <m:r>
              <w:rPr>
                <w:rFonts w:ascii="Cambria Math" w:hAnsi="Cambria Math"/>
              </w:rPr>
              <m:rPr/>
              <m:t>2</m:t>
            </m:r>
          </m:sup>
        </m:sSup>
      </m:oMath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до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70 </w:t>
      </w:r>
      <m:oMath>
        <m:r>
          <w:rPr>
            <w:rFonts w:ascii="Cambria Math" w:hAnsi="Cambria Math"/>
          </w:rPr>
          <m:rPr/>
          <m:t>с</m:t>
        </m:r>
        <m:sSup>
          <m:sSupPr>
            <m:ctrlPr>
              <w:rPr>
                <w:rFonts w:ascii="Cambria Math" w:hAnsi="Cambria Math" w:eastAsia="Cambria Math" w:cs="Cambria Math"/>
              </w:rPr>
            </m:ctrlPr>
          </m:sSupPr>
          <m:e>
            <m:r>
              <w:rPr>
                <w:rFonts w:ascii="Cambria Math" w:hAnsi="Cambria Math"/>
              </w:rPr>
              <m:rPr/>
              <m:t>м</m:t>
            </m:r>
          </m:e>
          <m:sup>
            <m:r>
              <w:rPr>
                <w:rFonts w:ascii="Cambria Math" w:hAnsi="Cambria Math"/>
              </w:rPr>
              <m:rPr/>
              <m:t>2</m:t>
            </m:r>
          </m:sup>
        </m:sSup>
      </m:oMath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каждый из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которых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был покрыт красочным слоем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 одной стороны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оверхность фрагментов неоднородная,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поэтому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для каждого образца измерение проводилось как минимум в 8 точках.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После измерения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спектры группировались по сходным линиям и соотносились со спектрами из базы данных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RRUFF [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6]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 литературы.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uppressLineNumbers w:val="false"/>
        <w:pBdr/>
        <w:spacing w:after="0" w:afterAutospacing="1" w:beforeAutospacing="1" w:line="240" w:lineRule="auto"/>
        <w:ind w:firstLine="397"/>
        <w:contextualSpacing w:val="false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В результате исследования был определен следующий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набор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веществ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/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пигментов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общих для всех четырёх церквей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: гематит,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гётит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киноварь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уголь,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анатаз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, кварц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и кальцит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.  В одном из исследуемых наборов фрагментов среди пигментов красочного слоя бы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л обнаружен графит. В качестве зелёного цвета во фрагментах из трёх церквей использовалась зелёная земля, состоящая из минерала селадонита. Были идентифицированы два разных пигмента синего цвета – лазурит и азурит. Причём во фрагментах росписей датируемых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en-US"/>
        </w:rPr>
        <w:t xml:space="preserve">XII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ru-RU"/>
        </w:rPr>
        <w:t xml:space="preserve"> веком используется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ru-RU"/>
        </w:rPr>
        <w:t xml:space="preserve">только лазурит. Это подтверждает выводы искусствоведов, что азурит, более дешёвый синий пигмент по сравнению с лазуритом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ru-RU"/>
        </w:rPr>
        <w:t xml:space="preserve">,  использоваться в древнерусской фресковой живописи только с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en-US"/>
        </w:rPr>
        <w:t xml:space="preserve">XIV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ru-RU"/>
        </w:rPr>
        <w:t xml:space="preserve">века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en-US"/>
        </w:rPr>
        <w:t xml:space="preserve">[5]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ru-RU"/>
        </w:rPr>
        <w:t xml:space="preserve">. Среди исследованных фрагментов ни в одном не было обнаружено красного свинцового сурика. Это отличает полученные палитры пигментов от палитры церкви Благовещения на Городище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en-US"/>
        </w:rPr>
        <w:t xml:space="preserve"> XII 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ru-RU"/>
        </w:rPr>
        <w:t xml:space="preserve">века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ru-RU"/>
        </w:rPr>
        <w:t xml:space="preserve">, исследованной ранее, где свинцовый сурик был основным цветом красочного слоя одного из фрагментов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en-US"/>
        </w:rPr>
        <w:t xml:space="preserve">[4]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4"/>
          <w:szCs w:val="24"/>
        </w:rPr>
        <w:t xml:space="preserve">итератур</w:t>
      </w:r>
      <w:r>
        <w:rPr>
          <w:rFonts w:ascii="Times New Roman" w:hAnsi="Times New Roman" w:eastAsia="Times New Roman" w:cs="Times New Roman"/>
          <w:b/>
          <w:bCs/>
          <w:color w:val="000000" w:themeColor="text1" w:themeTint="FF" w:themeShade="FF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US"/>
        </w:rPr>
      </w:r>
    </w:p>
    <w:p>
      <w:pPr>
        <w:pStyle w:val="888"/>
        <w:numPr>
          <w:ilvl w:val="0"/>
          <w:numId w:val="2"/>
        </w:numPr>
        <w:pBdr/>
        <w:spacing/>
        <w:ind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Guan-Lin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Liu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Sergei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G.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Kazarian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Recent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advances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and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applications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cultural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heritage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using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 ATR-FTIR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spectroscopy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and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 ATR-FTIR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spectroscopic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imaging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4"/>
          <w:szCs w:val="24"/>
          <w:lang w:val="ru-RU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Analys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, 2022, 147, 1777,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DOI: 10.1039/d2an00005a.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888"/>
        <w:numPr>
          <w:ilvl w:val="0"/>
          <w:numId w:val="2"/>
        </w:numPr>
        <w:pBdr/>
        <w:spacing/>
        <w:ind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Howell G. M. Edwards, Peter Vandenabeele,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Philippe Colomban,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Raman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Spectroscopy in Cultural </w:t>
      </w:r>
      <w:r>
        <w:rPr>
          <w:lang w:val="en-US"/>
        </w:rPr>
        <w:t xml:space="preserve">Heritage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Preservation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, Cultural Heritage Science, ISBN 978-3-031-14378-6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, </w:t>
      </w:r>
      <w:hyperlink r:id="rId11" w:tooltip="https://doi.org/10.1007/978-3-031-14379-3." w:history="1">
        <w:r>
          <w:rPr>
            <w:rStyle w:val="891"/>
            <w:rFonts w:ascii="Times New Roman" w:hAnsi="Times New Roman" w:eastAsia="Times New Roman" w:cs="Times New Roman"/>
            <w:color w:val="000000" w:themeColor="text1"/>
            <w:sz w:val="24"/>
            <w:szCs w:val="24"/>
            <w:lang w:val="en-US"/>
          </w:rPr>
          <w:t xml:space="preserve">https://doi.org/10.1007/978-3-031-14379-3.</w:t>
        </w:r>
        <w:r>
          <w:rPr>
            <w:rStyle w:val="891"/>
            <w:color w:val="000000" w:themeColor="text1"/>
          </w:rPr>
        </w:r>
      </w:hyperlink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8"/>
        <w:numPr>
          <w:ilvl w:val="0"/>
          <w:numId w:val="2"/>
        </w:numPr>
        <w:pBdr/>
        <w:spacing/>
        <w:ind/>
        <w:jc w:val="both"/>
        <w:rPr>
          <w:color w:val="000000" w:themeColor="text1"/>
        </w:rPr>
      </w:pPr>
      <w:r>
        <w:rPr>
          <w:highlight w:val="none"/>
          <w:lang w:val="ru-RU"/>
        </w:rPr>
        <w:t xml:space="preserve">Седов ВлВ. Основные результаты раскопок церкви Благовещения на Городище в 2016-2017гг.</w:t>
      </w:r>
      <w:r>
        <w:rPr>
          <w:highlight w:val="none"/>
          <w:lang w:val="en-US"/>
        </w:rPr>
        <w:t xml:space="preserve">: </w:t>
      </w:r>
      <w:r>
        <w:rPr>
          <w:highlight w:val="none"/>
          <w:lang w:val="ru-RU"/>
        </w:rPr>
        <w:t xml:space="preserve">археология и архитектура. Архитектурная археология. 2019</w:t>
      </w:r>
      <w:r>
        <w:rPr>
          <w:highlight w:val="none"/>
          <w:lang w:val="en-US"/>
        </w:rPr>
        <w:t xml:space="preserve">;1:10-34.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8"/>
        <w:numPr>
          <w:ilvl w:val="0"/>
          <w:numId w:val="2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Balakhnina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I.,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Anisimova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T.,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Mankova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A.,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Chikishev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A., and Brandt N. et al. </w:t>
      </w:r>
      <w:r>
        <w:rPr>
          <w:color w:val="000000" w:themeColor="text1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Raman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Microspectroscopy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of Fresco Fragments from the Annunciation Church at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Gorodishche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at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Veliky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Novgorod // Eur. Phys. J. Plus 2021. 136, 610.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888"/>
        <w:numPr>
          <w:ilvl w:val="0"/>
          <w:numId w:val="2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Гренберг Ю.И., Наука служит искусству. Технологические исследования произведений живописи.Статьи разных лет.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en-US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Москва,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2018. - 384с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r>
    </w:p>
    <w:p>
      <w:pPr>
        <w:pStyle w:val="888"/>
        <w:numPr>
          <w:ilvl w:val="0"/>
          <w:numId w:val="2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База данных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спектров комбинационного рассеяния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RRUFF,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https://rruff.info/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1361" w:bottom="1259" w:left="136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888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4"/>
    <w:next w:val="88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4"/>
    <w:next w:val="88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4"/>
    <w:next w:val="88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4"/>
    <w:next w:val="88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4"/>
    <w:next w:val="88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4"/>
    <w:next w:val="88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4"/>
    <w:next w:val="88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4"/>
    <w:next w:val="88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4"/>
    <w:next w:val="88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5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5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5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5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5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5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4"/>
    <w:next w:val="88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5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4"/>
    <w:next w:val="88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5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4"/>
    <w:next w:val="88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5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1">
    <w:name w:val="Intense Emphasis"/>
    <w:basedOn w:val="8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4"/>
    <w:next w:val="884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5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4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5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5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4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5"/>
    <w:link w:val="861"/>
    <w:uiPriority w:val="99"/>
    <w:pPr>
      <w:pBdr/>
      <w:spacing/>
      <w:ind/>
    </w:pPr>
  </w:style>
  <w:style w:type="paragraph" w:styleId="863">
    <w:name w:val="Footer"/>
    <w:basedOn w:val="884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5"/>
    <w:link w:val="863"/>
    <w:uiPriority w:val="99"/>
    <w:pPr>
      <w:pBdr/>
      <w:spacing/>
      <w:ind/>
    </w:pPr>
  </w:style>
  <w:style w:type="paragraph" w:styleId="865">
    <w:name w:val="Caption"/>
    <w:basedOn w:val="884"/>
    <w:next w:val="8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4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85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4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85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FollowedHyperlink"/>
    <w:basedOn w:val="8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3">
    <w:name w:val="toc 1"/>
    <w:basedOn w:val="884"/>
    <w:next w:val="884"/>
    <w:uiPriority w:val="39"/>
    <w:unhideWhenUsed/>
    <w:pPr>
      <w:pBdr/>
      <w:spacing w:after="100"/>
      <w:ind/>
    </w:pPr>
  </w:style>
  <w:style w:type="paragraph" w:styleId="874">
    <w:name w:val="toc 2"/>
    <w:basedOn w:val="884"/>
    <w:next w:val="884"/>
    <w:uiPriority w:val="39"/>
    <w:unhideWhenUsed/>
    <w:pPr>
      <w:pBdr/>
      <w:spacing w:after="100"/>
      <w:ind w:left="220"/>
    </w:pPr>
  </w:style>
  <w:style w:type="paragraph" w:styleId="875">
    <w:name w:val="toc 3"/>
    <w:basedOn w:val="884"/>
    <w:next w:val="884"/>
    <w:uiPriority w:val="39"/>
    <w:unhideWhenUsed/>
    <w:pPr>
      <w:pBdr/>
      <w:spacing w:after="100"/>
      <w:ind w:left="440"/>
    </w:pPr>
  </w:style>
  <w:style w:type="paragraph" w:styleId="876">
    <w:name w:val="toc 4"/>
    <w:basedOn w:val="884"/>
    <w:next w:val="884"/>
    <w:uiPriority w:val="39"/>
    <w:unhideWhenUsed/>
    <w:pPr>
      <w:pBdr/>
      <w:spacing w:after="100"/>
      <w:ind w:left="660"/>
    </w:pPr>
  </w:style>
  <w:style w:type="paragraph" w:styleId="877">
    <w:name w:val="toc 5"/>
    <w:basedOn w:val="884"/>
    <w:next w:val="884"/>
    <w:uiPriority w:val="39"/>
    <w:unhideWhenUsed/>
    <w:pPr>
      <w:pBdr/>
      <w:spacing w:after="100"/>
      <w:ind w:left="880"/>
    </w:pPr>
  </w:style>
  <w:style w:type="paragraph" w:styleId="878">
    <w:name w:val="toc 6"/>
    <w:basedOn w:val="884"/>
    <w:next w:val="884"/>
    <w:uiPriority w:val="39"/>
    <w:unhideWhenUsed/>
    <w:pPr>
      <w:pBdr/>
      <w:spacing w:after="100"/>
      <w:ind w:left="1100"/>
    </w:pPr>
  </w:style>
  <w:style w:type="paragraph" w:styleId="879">
    <w:name w:val="toc 7"/>
    <w:basedOn w:val="884"/>
    <w:next w:val="884"/>
    <w:uiPriority w:val="39"/>
    <w:unhideWhenUsed/>
    <w:pPr>
      <w:pBdr/>
      <w:spacing w:after="100"/>
      <w:ind w:left="1320"/>
    </w:pPr>
  </w:style>
  <w:style w:type="paragraph" w:styleId="880">
    <w:name w:val="toc 8"/>
    <w:basedOn w:val="884"/>
    <w:next w:val="884"/>
    <w:uiPriority w:val="39"/>
    <w:unhideWhenUsed/>
    <w:pPr>
      <w:pBdr/>
      <w:spacing w:after="100"/>
      <w:ind w:left="1540"/>
    </w:pPr>
  </w:style>
  <w:style w:type="paragraph" w:styleId="881">
    <w:name w:val="toc 9"/>
    <w:basedOn w:val="884"/>
    <w:next w:val="884"/>
    <w:uiPriority w:val="39"/>
    <w:unhideWhenUsed/>
    <w:pPr>
      <w:pBdr/>
      <w:spacing w:after="100"/>
      <w:ind w:left="1760"/>
    </w:pPr>
  </w:style>
  <w:style w:type="paragraph" w:styleId="882">
    <w:name w:val="TOC Heading"/>
    <w:uiPriority w:val="39"/>
    <w:unhideWhenUsed/>
    <w:pPr>
      <w:pBdr/>
      <w:spacing/>
      <w:ind/>
    </w:pPr>
  </w:style>
  <w:style w:type="paragraph" w:styleId="883">
    <w:name w:val="table of figures"/>
    <w:basedOn w:val="884"/>
    <w:next w:val="884"/>
    <w:uiPriority w:val="99"/>
    <w:unhideWhenUsed/>
    <w:pPr>
      <w:pBdr/>
      <w:spacing w:after="0" w:afterAutospacing="0"/>
      <w:ind/>
    </w:pPr>
  </w:style>
  <w:style w:type="paragraph" w:styleId="884" w:default="1">
    <w:name w:val="Normal"/>
    <w:qFormat/>
    <w:pPr>
      <w:pBdr/>
      <w:spacing/>
      <w:ind/>
    </w:pPr>
  </w:style>
  <w:style w:type="character" w:styleId="885" w:default="1">
    <w:name w:val="Default Paragraph Font"/>
    <w:uiPriority w:val="1"/>
    <w:semiHidden/>
    <w:unhideWhenUsed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paragraph" w:styleId="888">
    <w:name w:val="List Paragraph"/>
    <w:basedOn w:val="884"/>
    <w:uiPriority w:val="34"/>
    <w:qFormat/>
    <w:pPr>
      <w:numPr>
        <w:ilvl w:val="0"/>
        <w:numId w:val="1"/>
      </w:numPr>
      <w:pBdr/>
      <w:spacing/>
      <w:ind w:hanging="425" w:left="709"/>
      <w:contextualSpacing w:val="true"/>
      <w:jc w:val="both"/>
    </w:pPr>
    <w:rPr>
      <w:rFonts w:ascii="Times New Roman" w:hAnsi="Times New Roman" w:eastAsia="Times New Roman" w:cs="Times New Roman"/>
      <w:color w:val="000000" w:themeColor="text1"/>
      <w:sz w:val="24"/>
      <w:szCs w:val="24"/>
      <w:lang w:val="en-US"/>
    </w:rPr>
  </w:style>
  <w:style w:type="paragraph" w:styleId="889">
    <w:name w:val="Balloon Text"/>
    <w:basedOn w:val="884"/>
    <w:link w:val="89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basedOn w:val="885"/>
    <w:link w:val="88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91">
    <w:name w:val="Hyperlink"/>
    <w:basedOn w:val="88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2">
    <w:name w:val="annotation reference"/>
    <w:basedOn w:val="885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93">
    <w:name w:val="annotation text"/>
    <w:basedOn w:val="884"/>
    <w:link w:val="894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894" w:customStyle="1">
    <w:name w:val="Текст примечания Знак"/>
    <w:basedOn w:val="885"/>
    <w:link w:val="893"/>
    <w:uiPriority w:val="99"/>
    <w:semiHidden/>
    <w:pPr>
      <w:pBdr/>
      <w:spacing/>
      <w:ind/>
    </w:pPr>
    <w:rPr>
      <w:sz w:val="20"/>
      <w:szCs w:val="20"/>
    </w:rPr>
  </w:style>
  <w:style w:type="paragraph" w:styleId="895">
    <w:name w:val="annotation subject"/>
    <w:basedOn w:val="893"/>
    <w:next w:val="893"/>
    <w:link w:val="896"/>
    <w:uiPriority w:val="99"/>
    <w:semiHidden/>
    <w:unhideWhenUsed/>
    <w:pPr>
      <w:pBdr/>
      <w:spacing/>
      <w:ind/>
    </w:pPr>
    <w:rPr>
      <w:b/>
      <w:bCs/>
    </w:rPr>
  </w:style>
  <w:style w:type="character" w:styleId="896" w:customStyle="1">
    <w:name w:val="Тема примечания Знак"/>
    <w:basedOn w:val="894"/>
    <w:link w:val="895"/>
    <w:uiPriority w:val="99"/>
    <w:semiHidden/>
    <w:pPr>
      <w:pBdr/>
      <w:spacing/>
      <w:ind/>
    </w:pPr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kochetkovmi@my.msu.ru" TargetMode="External"/><Relationship Id="rId11" Type="http://schemas.openxmlformats.org/officeDocument/2006/relationships/hyperlink" Target="https://doi.org/10.1007/978-3-031-14379-3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F88B-869D-4D4E-8F3E-EDAA4A7B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ONLYOFFICE/8.3.1.25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2025-03-20T17:37:28Z</dcterms:modified>
</cp:coreProperties>
</file>