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1855E" w14:textId="2368F422" w:rsidR="00E81436" w:rsidRDefault="00710490" w:rsidP="001B6D6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Структурная релаксация центров окраски в аморфном диоксиде кремния</w:t>
      </w:r>
    </w:p>
    <w:p w14:paraId="6B91C334" w14:textId="1A3E40D4" w:rsidR="00307C0F" w:rsidRPr="002E3AC9" w:rsidRDefault="00710490" w:rsidP="001B6D67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Никифоров Л.В</w:t>
      </w:r>
      <w:r w:rsidR="00307C0F" w:rsidRPr="002E3A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307C0F" w:rsidRPr="002E3AC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307C0F" w:rsidRPr="002E3A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Дмитриева Д.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="00307C0F" w:rsidRPr="002E3A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307C0F" w:rsidRPr="002E3AC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E81436" w:rsidRPr="002E3A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Дмитриева Д.В.</w:t>
      </w:r>
      <w:r w:rsidR="00E81436" w:rsidRPr="002E3A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51FA8C4A" w14:textId="413140AD" w:rsidR="00307C0F" w:rsidRPr="00307C0F" w:rsidRDefault="00307C0F" w:rsidP="001B6D67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07C0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307C0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710490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Pr="00307C0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07C0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307C0F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710490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13E4CA07" w14:textId="77777777" w:rsidR="00307C0F" w:rsidRPr="00307C0F" w:rsidRDefault="00307C0F" w:rsidP="001B6D67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07C0F">
        <w:rPr>
          <w:rFonts w:ascii="Times New Roman" w:hAnsi="Times New Roman" w:cs="Times New Roman"/>
          <w:i/>
          <w:iCs/>
          <w:sz w:val="24"/>
          <w:szCs w:val="24"/>
        </w:rPr>
        <w:t>Санкт-Петербургский государственный университет телекоммуникаций им. проф. М. А. Бонч-Бруевича, факультет Инфокоммуникационных сетей и систем,</w:t>
      </w:r>
    </w:p>
    <w:p w14:paraId="4B272B89" w14:textId="77777777" w:rsidR="00307C0F" w:rsidRPr="00307C0F" w:rsidRDefault="00307C0F" w:rsidP="001B6D67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07C0F">
        <w:rPr>
          <w:rFonts w:ascii="Times New Roman" w:hAnsi="Times New Roman" w:cs="Times New Roman"/>
          <w:i/>
          <w:iCs/>
          <w:sz w:val="24"/>
          <w:szCs w:val="24"/>
        </w:rPr>
        <w:t>Санкт-Петербург, Россия</w:t>
      </w:r>
    </w:p>
    <w:p w14:paraId="27AEDD3B" w14:textId="1A08ADC4" w:rsidR="00AF209D" w:rsidRPr="00AF209D" w:rsidRDefault="00AF209D" w:rsidP="001B6D67">
      <w:pPr>
        <w:pStyle w:val="ac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F209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E–mail: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lev4917@gmail.com</w:t>
      </w:r>
    </w:p>
    <w:p w14:paraId="5CE94BE6" w14:textId="77777777" w:rsidR="00307C0F" w:rsidRPr="00AF209D" w:rsidRDefault="00307C0F" w:rsidP="001B6D67">
      <w:pPr>
        <w:pStyle w:val="ac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012B625" w14:textId="758050D7" w:rsidR="00710490" w:rsidRDefault="00710490" w:rsidP="0073009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10490">
        <w:rPr>
          <w:rFonts w:ascii="Times New Roman" w:hAnsi="Times New Roman" w:cs="Times New Roman"/>
          <w:sz w:val="24"/>
          <w:szCs w:val="24"/>
        </w:rPr>
        <w:t xml:space="preserve">Развитие современного мира привел к появлению большого количества оптических и электронных устройств. На сегодняшний день участились случаи применения различного оборудования в тяжелых экологических условиях. Развитие атомной энергетики и увеличение числа атомных станций создает ситуации, при которых эксплуатация приборов с </w:t>
      </w:r>
      <w:proofErr w:type="spellStart"/>
      <w:r w:rsidRPr="00710490">
        <w:rPr>
          <w:rFonts w:ascii="Times New Roman" w:hAnsi="Times New Roman" w:cs="Times New Roman"/>
          <w:sz w:val="24"/>
          <w:szCs w:val="24"/>
        </w:rPr>
        <w:t>нерадиационностойкими</w:t>
      </w:r>
      <w:proofErr w:type="spellEnd"/>
      <w:r w:rsidRPr="00710490">
        <w:rPr>
          <w:rFonts w:ascii="Times New Roman" w:hAnsi="Times New Roman" w:cs="Times New Roman"/>
          <w:sz w:val="24"/>
          <w:szCs w:val="24"/>
        </w:rPr>
        <w:t xml:space="preserve"> материалами становится невозможной. В большинстве случаев одним из материалов, применяемых при изготовлении оптических и электрических устройств является диоксид кремния, причем как в кристаллическом виде, так и в виде аморфного </w:t>
      </w:r>
      <w:proofErr w:type="spellStart"/>
      <w:r w:rsidRPr="00710490">
        <w:rPr>
          <w:rFonts w:ascii="Times New Roman" w:hAnsi="Times New Roman" w:cs="Times New Roman"/>
          <w:sz w:val="24"/>
          <w:szCs w:val="24"/>
        </w:rPr>
        <w:t>полиморфа</w:t>
      </w:r>
      <w:proofErr w:type="spellEnd"/>
      <w:r w:rsidR="003C1F4C" w:rsidRPr="003C1F4C">
        <w:rPr>
          <w:rFonts w:ascii="Times New Roman" w:hAnsi="Times New Roman" w:cs="Times New Roman"/>
          <w:sz w:val="24"/>
          <w:szCs w:val="24"/>
        </w:rPr>
        <w:t xml:space="preserve"> [1]</w:t>
      </w:r>
      <w:r w:rsidRPr="00710490">
        <w:rPr>
          <w:rFonts w:ascii="Times New Roman" w:hAnsi="Times New Roman" w:cs="Times New Roman"/>
          <w:sz w:val="24"/>
          <w:szCs w:val="24"/>
        </w:rPr>
        <w:t xml:space="preserve">. В данном материале возникают различные точечные дефекты, приводящие к повреждению структуры материала и выходу из строя прибора. Наиболее существенный вклад вносят дефекты, связанные с появлением центров окраски – </w:t>
      </w:r>
      <w:r w:rsidRPr="0071049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10490">
        <w:rPr>
          <w:rFonts w:ascii="Times New Roman" w:hAnsi="Times New Roman" w:cs="Times New Roman"/>
          <w:sz w:val="24"/>
          <w:szCs w:val="24"/>
        </w:rPr>
        <w:t>-центров</w:t>
      </w:r>
      <w:r w:rsidR="003C1F4C" w:rsidRPr="003C1F4C">
        <w:rPr>
          <w:rFonts w:ascii="Times New Roman" w:hAnsi="Times New Roman" w:cs="Times New Roman"/>
          <w:sz w:val="24"/>
          <w:szCs w:val="24"/>
        </w:rPr>
        <w:t xml:space="preserve"> [1</w:t>
      </w:r>
      <w:r w:rsidR="003C1F4C" w:rsidRPr="00FC6059">
        <w:rPr>
          <w:rFonts w:ascii="Times New Roman" w:hAnsi="Times New Roman" w:cs="Times New Roman"/>
          <w:sz w:val="24"/>
          <w:szCs w:val="24"/>
        </w:rPr>
        <w:t>]</w:t>
      </w:r>
      <w:r w:rsidRPr="00710490">
        <w:rPr>
          <w:rFonts w:ascii="Times New Roman" w:hAnsi="Times New Roman" w:cs="Times New Roman"/>
          <w:sz w:val="24"/>
          <w:szCs w:val="24"/>
        </w:rPr>
        <w:t xml:space="preserve">. Большая часть исследований, как теоретических, так и экспериментальных, связана с изучением центров окраски, возникающих в кристаллическом кремнии. На данный момент не существует экспериментального подтверждения </w:t>
      </w:r>
      <w:proofErr w:type="gramStart"/>
      <w:r w:rsidRPr="00710490">
        <w:rPr>
          <w:rFonts w:ascii="Times New Roman" w:hAnsi="Times New Roman" w:cs="Times New Roman"/>
          <w:sz w:val="24"/>
          <w:szCs w:val="24"/>
        </w:rPr>
        <w:t>возможных вариантов</w:t>
      </w:r>
      <w:proofErr w:type="gramEnd"/>
      <w:r w:rsidRPr="00710490">
        <w:rPr>
          <w:rFonts w:ascii="Times New Roman" w:hAnsi="Times New Roman" w:cs="Times New Roman"/>
          <w:sz w:val="24"/>
          <w:szCs w:val="24"/>
        </w:rPr>
        <w:t xml:space="preserve"> возникающих Е-центров и описания структуры их релаксации в аморфном диоксиде кремния. Именно поэтому данное направление является актуальным в практической физике.</w:t>
      </w:r>
    </w:p>
    <w:p w14:paraId="409BBFF7" w14:textId="0E5ADE80" w:rsidR="004D4582" w:rsidRPr="002D6F22" w:rsidRDefault="00710490" w:rsidP="001B6D6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490">
        <w:rPr>
          <w:rFonts w:ascii="Times New Roman" w:hAnsi="Times New Roman" w:cs="Times New Roman"/>
          <w:b/>
          <w:bCs/>
          <w:sz w:val="24"/>
          <w:szCs w:val="24"/>
        </w:rPr>
        <w:t>Исследование спектров электронно-парамагнитного резонанса в образцах диоксида кремния</w:t>
      </w:r>
    </w:p>
    <w:tbl>
      <w:tblPr>
        <w:tblStyle w:val="ad"/>
        <w:tblpPr w:leftFromText="180" w:rightFromText="180" w:vertAnchor="text" w:horzAnchor="margin" w:tblpY="304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577"/>
      </w:tblGrid>
      <w:tr w:rsidR="0073009A" w14:paraId="027395C1" w14:textId="77777777" w:rsidTr="0073009A">
        <w:trPr>
          <w:trHeight w:val="2760"/>
        </w:trPr>
        <w:tc>
          <w:tcPr>
            <w:tcW w:w="4607" w:type="dxa"/>
          </w:tcPr>
          <w:p w14:paraId="667C9B19" w14:textId="77777777" w:rsidR="0073009A" w:rsidRDefault="0073009A" w:rsidP="0073009A">
            <w:r>
              <w:rPr>
                <w:noProof/>
                <w:lang w:eastAsia="ru-RU"/>
              </w:rPr>
              <w:drawing>
                <wp:inline distT="0" distB="0" distL="0" distR="0" wp14:anchorId="2744C53D" wp14:editId="144F6A84">
                  <wp:extent cx="2800350" cy="1885194"/>
                  <wp:effectExtent l="0" t="0" r="0" b="1270"/>
                  <wp:docPr id="8" name="Рисунок 8" descr="Изображение выглядит как текст, диаграмма, линия, Графи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Изображение выглядит как текст, диаграмма, линия, График&#10;&#10;Автоматически созданное описание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91"/>
                          <a:stretch/>
                        </pic:blipFill>
                        <pic:spPr bwMode="auto">
                          <a:xfrm>
                            <a:off x="0" y="0"/>
                            <a:ext cx="2812671" cy="18934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7" w:type="dxa"/>
          </w:tcPr>
          <w:p w14:paraId="5556EA9E" w14:textId="77777777" w:rsidR="0073009A" w:rsidRDefault="0073009A" w:rsidP="0073009A">
            <w:r>
              <w:rPr>
                <w:noProof/>
                <w:lang w:eastAsia="ru-RU"/>
              </w:rPr>
              <w:drawing>
                <wp:inline distT="0" distB="0" distL="0" distR="0" wp14:anchorId="45B5FAA8" wp14:editId="715DDB6A">
                  <wp:extent cx="2781300" cy="1872489"/>
                  <wp:effectExtent l="0" t="0" r="0" b="0"/>
                  <wp:docPr id="9" name="Рисунок 9" descr="Изображение выглядит как текст, диаграмма, линия, Графи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Изображение выглядит как текст, диаграмма, линия, График&#10;&#10;Автоматически созданное описание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05"/>
                          <a:stretch/>
                        </pic:blipFill>
                        <pic:spPr bwMode="auto">
                          <a:xfrm>
                            <a:off x="0" y="0"/>
                            <a:ext cx="2799627" cy="1884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204C2F" w14:textId="1F428ADB" w:rsidR="004D4582" w:rsidRPr="002D6F22" w:rsidRDefault="00710490" w:rsidP="001B6D6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0490">
        <w:rPr>
          <w:rFonts w:ascii="Times New Roman" w:hAnsi="Times New Roman" w:cs="Times New Roman"/>
          <w:sz w:val="24"/>
          <w:szCs w:val="24"/>
        </w:rPr>
        <w:t>Исследование электронно-парамагнитного резонанса (ЭПР) проводилось для центров окраски, индуцированных γ-излучением в различных коммерческих вариантах аморфного диоксида кремния. Каждый из представленных образцов имеет форму платы размером 5х5х1 мм</w:t>
      </w:r>
      <w:r w:rsidRPr="0071049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10490">
        <w:rPr>
          <w:rFonts w:ascii="Times New Roman" w:hAnsi="Times New Roman" w:cs="Times New Roman"/>
          <w:sz w:val="24"/>
          <w:szCs w:val="24"/>
        </w:rPr>
        <w:t>. Представленные образцы подвергались воздействию γ-излучения мощностью от 10</w:t>
      </w:r>
      <w:r w:rsidRPr="0071049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71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490">
        <w:rPr>
          <w:rFonts w:ascii="Times New Roman" w:hAnsi="Times New Roman" w:cs="Times New Roman"/>
          <w:sz w:val="24"/>
          <w:szCs w:val="24"/>
        </w:rPr>
        <w:t>кГр</w:t>
      </w:r>
      <w:proofErr w:type="spellEnd"/>
      <w:r w:rsidRPr="00710490">
        <w:rPr>
          <w:rFonts w:ascii="Times New Roman" w:hAnsi="Times New Roman" w:cs="Times New Roman"/>
          <w:sz w:val="24"/>
          <w:szCs w:val="24"/>
        </w:rPr>
        <w:t xml:space="preserve"> до 10</w:t>
      </w:r>
      <w:r w:rsidRPr="00710490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10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490">
        <w:rPr>
          <w:rFonts w:ascii="Times New Roman" w:hAnsi="Times New Roman" w:cs="Times New Roman"/>
          <w:sz w:val="24"/>
          <w:szCs w:val="24"/>
        </w:rPr>
        <w:t>кГр</w:t>
      </w:r>
      <w:proofErr w:type="spellEnd"/>
      <w:r w:rsidRPr="00710490">
        <w:rPr>
          <w:rFonts w:ascii="Times New Roman" w:hAnsi="Times New Roman" w:cs="Times New Roman"/>
          <w:sz w:val="24"/>
          <w:szCs w:val="24"/>
        </w:rPr>
        <w:t xml:space="preserve"> со скоростью 7кГр/ч. Измерения ЭПР проводились при </w:t>
      </w:r>
      <w:proofErr w:type="spellStart"/>
      <w:r w:rsidRPr="00710490">
        <w:rPr>
          <w:rFonts w:ascii="Times New Roman" w:hAnsi="Times New Roman" w:cs="Times New Roman"/>
          <w:sz w:val="24"/>
          <w:szCs w:val="24"/>
        </w:rPr>
        <w:t>комнтаной</w:t>
      </w:r>
      <w:proofErr w:type="spellEnd"/>
      <w:r w:rsidRPr="00710490">
        <w:rPr>
          <w:rFonts w:ascii="Times New Roman" w:hAnsi="Times New Roman" w:cs="Times New Roman"/>
          <w:sz w:val="24"/>
          <w:szCs w:val="24"/>
        </w:rPr>
        <w:t xml:space="preserve"> температуре на спектрометре </w:t>
      </w:r>
      <w:proofErr w:type="spellStart"/>
      <w:r w:rsidRPr="00710490">
        <w:rPr>
          <w:rFonts w:ascii="Times New Roman" w:hAnsi="Times New Roman" w:cs="Times New Roman"/>
          <w:sz w:val="24"/>
          <w:szCs w:val="24"/>
        </w:rPr>
        <w:t>Bruker</w:t>
      </w:r>
      <w:proofErr w:type="spellEnd"/>
      <w:r w:rsidRPr="00710490">
        <w:rPr>
          <w:rFonts w:ascii="Times New Roman" w:hAnsi="Times New Roman" w:cs="Times New Roman"/>
          <w:sz w:val="24"/>
          <w:szCs w:val="24"/>
        </w:rPr>
        <w:t xml:space="preserve"> EMX, работающем на частоте 9,8 ГГЦ. Центры окраски снимались при частоте модулирующего магнитного поля 100 кГц, амплитуде модуляции 0,01 </w:t>
      </w:r>
      <w:proofErr w:type="spellStart"/>
      <w:r w:rsidRPr="00710490">
        <w:rPr>
          <w:rFonts w:ascii="Times New Roman" w:hAnsi="Times New Roman" w:cs="Times New Roman"/>
          <w:sz w:val="24"/>
          <w:szCs w:val="24"/>
        </w:rPr>
        <w:t>мТл</w:t>
      </w:r>
      <w:proofErr w:type="spellEnd"/>
      <w:r w:rsidRPr="00710490">
        <w:rPr>
          <w:rFonts w:ascii="Times New Roman" w:hAnsi="Times New Roman" w:cs="Times New Roman"/>
          <w:sz w:val="24"/>
          <w:szCs w:val="24"/>
        </w:rPr>
        <w:t xml:space="preserve"> и мощности микроволн 800 нВт. Количественный анализ был проведен на основании значений параметра g – первого максимума, точки пересечения нуля и минимума спектра ЭПР. Результаты измерений представлены на рис. 1.</w:t>
      </w:r>
    </w:p>
    <w:p w14:paraId="3A0F59A7" w14:textId="76066318" w:rsidR="004D4582" w:rsidRDefault="004D4582" w:rsidP="001B6D67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F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30B55" w14:textId="4F13DE8E" w:rsidR="00710490" w:rsidRPr="00710490" w:rsidRDefault="00710490" w:rsidP="00710490">
      <w:pPr>
        <w:jc w:val="both"/>
        <w:rPr>
          <w:rFonts w:ascii="Times New Roman" w:hAnsi="Times New Roman" w:cs="Times New Roman"/>
          <w:sz w:val="24"/>
          <w:szCs w:val="24"/>
        </w:rPr>
      </w:pPr>
      <w:r w:rsidRPr="00710490">
        <w:rPr>
          <w:rFonts w:ascii="Times New Roman" w:hAnsi="Times New Roman" w:cs="Times New Roman"/>
          <w:sz w:val="24"/>
          <w:szCs w:val="24"/>
        </w:rPr>
        <w:lastRenderedPageBreak/>
        <w:t>Рисунок 1. Спектры ЭПР Е-центров, но</w:t>
      </w:r>
      <w:r w:rsidR="0073009A">
        <w:rPr>
          <w:rFonts w:ascii="Times New Roman" w:hAnsi="Times New Roman" w:cs="Times New Roman"/>
          <w:sz w:val="24"/>
          <w:szCs w:val="24"/>
        </w:rPr>
        <w:t>р</w:t>
      </w:r>
      <w:r w:rsidRPr="00710490">
        <w:rPr>
          <w:rFonts w:ascii="Times New Roman" w:hAnsi="Times New Roman" w:cs="Times New Roman"/>
          <w:sz w:val="24"/>
          <w:szCs w:val="24"/>
        </w:rPr>
        <w:t xml:space="preserve">мированные на амплитуду от пика до пика и сдвинутые по горизонтали для перекрытия в первом максимуме. На рисунке </w:t>
      </w:r>
      <w:r w:rsidR="00BC549B">
        <w:rPr>
          <w:rFonts w:ascii="Times New Roman" w:hAnsi="Times New Roman" w:cs="Times New Roman"/>
          <w:sz w:val="24"/>
          <w:szCs w:val="24"/>
        </w:rPr>
        <w:t>(</w:t>
      </w:r>
      <w:r w:rsidRPr="00710490">
        <w:rPr>
          <w:rFonts w:ascii="Times New Roman" w:hAnsi="Times New Roman" w:cs="Times New Roman"/>
          <w:sz w:val="24"/>
          <w:szCs w:val="24"/>
        </w:rPr>
        <w:t>а</w:t>
      </w:r>
      <w:r w:rsidR="00BC549B">
        <w:rPr>
          <w:rFonts w:ascii="Times New Roman" w:hAnsi="Times New Roman" w:cs="Times New Roman"/>
          <w:sz w:val="24"/>
          <w:szCs w:val="24"/>
        </w:rPr>
        <w:t>)</w:t>
      </w:r>
      <w:r w:rsidRPr="00710490">
        <w:rPr>
          <w:rFonts w:ascii="Times New Roman" w:hAnsi="Times New Roman" w:cs="Times New Roman"/>
          <w:sz w:val="24"/>
          <w:szCs w:val="24"/>
        </w:rPr>
        <w:t xml:space="preserve"> представлен спектр ЭПР для образцов </w:t>
      </w:r>
      <w:r w:rsidRPr="007104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10490">
        <w:rPr>
          <w:rFonts w:ascii="Times New Roman" w:hAnsi="Times New Roman" w:cs="Times New Roman"/>
          <w:sz w:val="24"/>
          <w:szCs w:val="24"/>
        </w:rPr>
        <w:t xml:space="preserve">301, облученных в дозах 0,5 </w:t>
      </w:r>
      <w:proofErr w:type="spellStart"/>
      <w:r w:rsidRPr="00710490">
        <w:rPr>
          <w:rFonts w:ascii="Times New Roman" w:hAnsi="Times New Roman" w:cs="Times New Roman"/>
          <w:sz w:val="24"/>
          <w:szCs w:val="24"/>
        </w:rPr>
        <w:t>кГр</w:t>
      </w:r>
      <w:proofErr w:type="spellEnd"/>
      <w:r w:rsidRPr="00710490">
        <w:rPr>
          <w:rFonts w:ascii="Times New Roman" w:hAnsi="Times New Roman" w:cs="Times New Roman"/>
          <w:sz w:val="24"/>
          <w:szCs w:val="24"/>
        </w:rPr>
        <w:t xml:space="preserve"> (сплошная линия), 50 </w:t>
      </w:r>
      <w:proofErr w:type="spellStart"/>
      <w:r w:rsidRPr="00710490">
        <w:rPr>
          <w:rFonts w:ascii="Times New Roman" w:hAnsi="Times New Roman" w:cs="Times New Roman"/>
          <w:sz w:val="24"/>
          <w:szCs w:val="24"/>
        </w:rPr>
        <w:t>кГр</w:t>
      </w:r>
      <w:proofErr w:type="spellEnd"/>
      <w:r w:rsidRPr="00710490">
        <w:rPr>
          <w:rFonts w:ascii="Times New Roman" w:hAnsi="Times New Roman" w:cs="Times New Roman"/>
          <w:sz w:val="24"/>
          <w:szCs w:val="24"/>
        </w:rPr>
        <w:t xml:space="preserve"> (короткий пунктир) и 5000 </w:t>
      </w:r>
      <w:proofErr w:type="spellStart"/>
      <w:r w:rsidRPr="00710490">
        <w:rPr>
          <w:rFonts w:ascii="Times New Roman" w:hAnsi="Times New Roman" w:cs="Times New Roman"/>
          <w:sz w:val="24"/>
          <w:szCs w:val="24"/>
        </w:rPr>
        <w:t>кГр</w:t>
      </w:r>
      <w:proofErr w:type="spellEnd"/>
      <w:r w:rsidRPr="00710490">
        <w:rPr>
          <w:rFonts w:ascii="Times New Roman" w:hAnsi="Times New Roman" w:cs="Times New Roman"/>
          <w:sz w:val="24"/>
          <w:szCs w:val="24"/>
        </w:rPr>
        <w:t xml:space="preserve"> (длинный пунктир). На вставке концентрация центров окраски представлена в зависимости от дозы. На рисунке </w:t>
      </w:r>
      <w:r w:rsidR="00BC549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C549B">
        <w:rPr>
          <w:rFonts w:ascii="Times New Roman" w:hAnsi="Times New Roman" w:cs="Times New Roman"/>
          <w:sz w:val="24"/>
          <w:szCs w:val="24"/>
        </w:rPr>
        <w:t>)</w:t>
      </w:r>
      <w:r w:rsidRPr="00710490">
        <w:rPr>
          <w:rFonts w:ascii="Times New Roman" w:hAnsi="Times New Roman" w:cs="Times New Roman"/>
          <w:sz w:val="24"/>
          <w:szCs w:val="24"/>
        </w:rPr>
        <w:t xml:space="preserve"> представлен спектр ЭПР для образцов </w:t>
      </w:r>
      <w:r w:rsidRPr="007104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10490">
        <w:rPr>
          <w:rFonts w:ascii="Times New Roman" w:hAnsi="Times New Roman" w:cs="Times New Roman"/>
          <w:sz w:val="24"/>
          <w:szCs w:val="24"/>
        </w:rPr>
        <w:t xml:space="preserve">301 после облучения при 4000 </w:t>
      </w:r>
      <w:proofErr w:type="spellStart"/>
      <w:r w:rsidRPr="00710490">
        <w:rPr>
          <w:rFonts w:ascii="Times New Roman" w:hAnsi="Times New Roman" w:cs="Times New Roman"/>
          <w:sz w:val="24"/>
          <w:szCs w:val="24"/>
        </w:rPr>
        <w:t>кГр</w:t>
      </w:r>
      <w:proofErr w:type="spellEnd"/>
      <w:r w:rsidRPr="00710490">
        <w:rPr>
          <w:rFonts w:ascii="Times New Roman" w:hAnsi="Times New Roman" w:cs="Times New Roman"/>
          <w:sz w:val="24"/>
          <w:szCs w:val="24"/>
        </w:rPr>
        <w:t xml:space="preserve"> (пунктир) и после изохронных термических обработок до Т=460 К (сплошные), квадраты относятся к эталонному образцу, облученному при 0,5 </w:t>
      </w:r>
      <w:proofErr w:type="spellStart"/>
      <w:r w:rsidRPr="00710490">
        <w:rPr>
          <w:rFonts w:ascii="Times New Roman" w:hAnsi="Times New Roman" w:cs="Times New Roman"/>
          <w:sz w:val="24"/>
          <w:szCs w:val="24"/>
        </w:rPr>
        <w:t>кГр</w:t>
      </w:r>
      <w:proofErr w:type="spellEnd"/>
      <w:r w:rsidRPr="00710490">
        <w:rPr>
          <w:rFonts w:ascii="Times New Roman" w:hAnsi="Times New Roman" w:cs="Times New Roman"/>
          <w:sz w:val="24"/>
          <w:szCs w:val="24"/>
        </w:rPr>
        <w:t>. На вставке концентрация Е-центров представлена в зависимости от температуры при изохронных термических обработках.</w:t>
      </w:r>
    </w:p>
    <w:p w14:paraId="76707378" w14:textId="5788E225" w:rsidR="0073009A" w:rsidRDefault="0073009A" w:rsidP="0073009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3009A">
        <w:rPr>
          <w:rFonts w:ascii="Times New Roman" w:hAnsi="Times New Roman" w:cs="Times New Roman"/>
          <w:sz w:val="24"/>
          <w:szCs w:val="24"/>
        </w:rPr>
        <w:t xml:space="preserve">Форма линии, полученная для образца, облученного дозой 0,5 </w:t>
      </w:r>
      <w:proofErr w:type="spellStart"/>
      <w:r w:rsidRPr="0073009A">
        <w:rPr>
          <w:rFonts w:ascii="Times New Roman" w:hAnsi="Times New Roman" w:cs="Times New Roman"/>
          <w:sz w:val="24"/>
          <w:szCs w:val="24"/>
        </w:rPr>
        <w:t>кГр</w:t>
      </w:r>
      <w:proofErr w:type="spellEnd"/>
      <w:r w:rsidRPr="0073009A">
        <w:rPr>
          <w:rFonts w:ascii="Times New Roman" w:hAnsi="Times New Roman" w:cs="Times New Roman"/>
          <w:sz w:val="24"/>
          <w:szCs w:val="24"/>
        </w:rPr>
        <w:t xml:space="preserve">, характерная для низких доз, в то время как наблюдаемая при 5000 </w:t>
      </w:r>
      <w:proofErr w:type="spellStart"/>
      <w:r w:rsidRPr="0073009A">
        <w:rPr>
          <w:rFonts w:ascii="Times New Roman" w:hAnsi="Times New Roman" w:cs="Times New Roman"/>
          <w:sz w:val="24"/>
          <w:szCs w:val="24"/>
        </w:rPr>
        <w:t>кГр</w:t>
      </w:r>
      <w:proofErr w:type="spellEnd"/>
      <w:r w:rsidRPr="0073009A">
        <w:rPr>
          <w:rFonts w:ascii="Times New Roman" w:hAnsi="Times New Roman" w:cs="Times New Roman"/>
          <w:sz w:val="24"/>
          <w:szCs w:val="24"/>
        </w:rPr>
        <w:t xml:space="preserve"> характерна для высоких доз. Расширение распределения значений </w:t>
      </w:r>
      <w:r w:rsidRPr="0073009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3009A">
        <w:rPr>
          <w:rFonts w:ascii="Times New Roman" w:hAnsi="Times New Roman" w:cs="Times New Roman"/>
          <w:sz w:val="24"/>
          <w:szCs w:val="24"/>
        </w:rPr>
        <w:t xml:space="preserve"> при переходе от формы линии при низких дозах к форме линии при высоких дозах связано с увеличение беспорядка в материале под действием γ-излучения. Подобная структура сохраняется и в других образцах. Для дальнейшего изучения формы линии была проведена серия термических обработок образца </w:t>
      </w:r>
      <w:r w:rsidRPr="0073009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3009A">
        <w:rPr>
          <w:rFonts w:ascii="Times New Roman" w:hAnsi="Times New Roman" w:cs="Times New Roman"/>
          <w:sz w:val="24"/>
          <w:szCs w:val="24"/>
        </w:rPr>
        <w:t xml:space="preserve">301, предварительно облученного при 4000 </w:t>
      </w:r>
      <w:proofErr w:type="spellStart"/>
      <w:r w:rsidRPr="0073009A">
        <w:rPr>
          <w:rFonts w:ascii="Times New Roman" w:hAnsi="Times New Roman" w:cs="Times New Roman"/>
          <w:sz w:val="24"/>
          <w:szCs w:val="24"/>
        </w:rPr>
        <w:t>кГр</w:t>
      </w:r>
      <w:proofErr w:type="spellEnd"/>
      <w:r w:rsidRPr="0073009A">
        <w:rPr>
          <w:rFonts w:ascii="Times New Roman" w:hAnsi="Times New Roman" w:cs="Times New Roman"/>
          <w:sz w:val="24"/>
          <w:szCs w:val="24"/>
        </w:rPr>
        <w:t>. Данное исследование позволило установить полную энергию для структурных конфигураций Е-центров, связанных с экспериментальными формами линий при низких дозах и высоких дозах. График, описывающий полную энергию, представлен на рисунке 2.</w:t>
      </w:r>
    </w:p>
    <w:p w14:paraId="39587BC2" w14:textId="2242A623" w:rsidR="0073009A" w:rsidRPr="0073009A" w:rsidRDefault="0073009A" w:rsidP="0073009A">
      <w:pPr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1EC620E" wp14:editId="4AD23BA0">
            <wp:extent cx="2199740" cy="1323975"/>
            <wp:effectExtent l="0" t="0" r="0" b="0"/>
            <wp:docPr id="7" name="Рисунок 7" descr="Изображение выглядит как диаграмма, зарисовка, График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диаграмма, зарисовка, График, линия&#10;&#10;Автоматически созданное описание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024" cy="133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71196" w14:textId="1D65F9E9" w:rsidR="0073009A" w:rsidRPr="0073009A" w:rsidRDefault="0073009A" w:rsidP="0073009A">
      <w:pPr>
        <w:jc w:val="both"/>
        <w:rPr>
          <w:rFonts w:ascii="Times New Roman" w:hAnsi="Times New Roman" w:cs="Times New Roman"/>
          <w:sz w:val="24"/>
          <w:szCs w:val="24"/>
        </w:rPr>
      </w:pPr>
      <w:r w:rsidRPr="0073009A">
        <w:rPr>
          <w:rFonts w:ascii="Times New Roman" w:hAnsi="Times New Roman" w:cs="Times New Roman"/>
          <w:sz w:val="24"/>
          <w:szCs w:val="24"/>
        </w:rPr>
        <w:t xml:space="preserve">Рисунок 2. Полная энергия для структурных конфигураций Е-центров, связанных с экспериментальными формами линии при низких и высоких дозах. </w:t>
      </w:r>
      <w:r w:rsidRPr="0073009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3009A">
        <w:rPr>
          <w:rFonts w:ascii="Times New Roman" w:hAnsi="Times New Roman" w:cs="Times New Roman"/>
          <w:sz w:val="24"/>
          <w:szCs w:val="24"/>
        </w:rPr>
        <w:t xml:space="preserve">1- форма линии при низких дозах, </w:t>
      </w:r>
      <w:r w:rsidRPr="0073009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73009A">
        <w:rPr>
          <w:rFonts w:ascii="Times New Roman" w:hAnsi="Times New Roman" w:cs="Times New Roman"/>
          <w:sz w:val="24"/>
          <w:szCs w:val="24"/>
        </w:rPr>
        <w:t>2 – форма линии при высоких дозах.</w:t>
      </w:r>
    </w:p>
    <w:p w14:paraId="6A90DAA0" w14:textId="12792464" w:rsidR="004D4582" w:rsidRDefault="0073009A" w:rsidP="0073009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3009A">
        <w:rPr>
          <w:rFonts w:ascii="Times New Roman" w:hAnsi="Times New Roman" w:cs="Times New Roman"/>
          <w:sz w:val="24"/>
          <w:szCs w:val="24"/>
        </w:rPr>
        <w:t xml:space="preserve">Анализ результатов подтвердил наличие у Е-центров структурной конфигурации с минимальной энергией и метастабильным состоянием. </w:t>
      </w:r>
    </w:p>
    <w:p w14:paraId="07C64872" w14:textId="77777777" w:rsidR="004D4582" w:rsidRPr="00221BCD" w:rsidRDefault="004D4582" w:rsidP="001B6D6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BCD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59FDD633" w14:textId="5FFEE3D0" w:rsidR="00307C0F" w:rsidRPr="004D4582" w:rsidRDefault="0073009A" w:rsidP="0073009A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3009A">
        <w:rPr>
          <w:rFonts w:ascii="Times New Roman" w:hAnsi="Times New Roman" w:cs="Times New Roman"/>
          <w:sz w:val="24"/>
          <w:szCs w:val="24"/>
        </w:rPr>
        <w:t>Интерпретация данных согласуется с существующими моделями центров окраски, в котором модель должна иметь две энергетические конфигурации, соответствующие двум различным состояниям. Дальнейшей целью работы является изучение полосы оптического поглощения, связанной с Е-центрами, при 5,8 эВ, что позволит расширить понимание структуры центров окраски в аморфном кремнии при воздействии γ-излучения.</w:t>
      </w:r>
    </w:p>
    <w:p w14:paraId="677E1200" w14:textId="77777777" w:rsidR="00307C0F" w:rsidRDefault="00307C0F" w:rsidP="001B6D67">
      <w:pPr>
        <w:spacing w:line="240" w:lineRule="auto"/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val="en-US" w:eastAsia="de-DE" w:bidi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4"/>
          <w:szCs w:val="24"/>
          <w:lang w:val="en-US" w:eastAsia="de-DE" w:bidi="en-US"/>
          <w14:ligatures w14:val="none"/>
        </w:rPr>
        <w:t>Литература</w:t>
      </w:r>
    </w:p>
    <w:p w14:paraId="5B6F4027" w14:textId="456C69D1" w:rsidR="005B3FEB" w:rsidRDefault="00BC549B" w:rsidP="00AF209D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G. Pacchioni, L. Skuja and D. L. Griscom. Defects in SiO and related dielectrics: Science and Technology</w:t>
      </w:r>
      <w:r w:rsidR="003C1F4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Dordrecht</w:t>
      </w:r>
      <w:r w:rsidR="003C1F4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3C1F4C">
        <w:rPr>
          <w:lang w:val="en-US"/>
        </w:rPr>
        <w:t xml:space="preserve"> </w:t>
      </w:r>
      <w:r w:rsidR="003C1F4C">
        <w:rPr>
          <w:rFonts w:ascii="Times New Roman" w:hAnsi="Times New Roman" w:cs="Times New Roman"/>
          <w:sz w:val="24"/>
          <w:szCs w:val="24"/>
          <w:lang w:val="en-US"/>
        </w:rPr>
        <w:t>Kluwer Academic Publishers,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2000</w:t>
      </w:r>
    </w:p>
    <w:p w14:paraId="6B2451E3" w14:textId="1694313B" w:rsidR="005B3FEB" w:rsidRPr="00B62DC9" w:rsidRDefault="00B62DC9" w:rsidP="00B62DC9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2DC9">
        <w:rPr>
          <w:rFonts w:ascii="Times New Roman" w:hAnsi="Times New Roman" w:cs="Times New Roman"/>
          <w:sz w:val="24"/>
          <w:szCs w:val="24"/>
          <w:lang w:val="en-US"/>
        </w:rPr>
        <w:t xml:space="preserve">R.A.B. Devine, J-P. Duraud and E. Dooryhée, Structure and imperfections in amorphous and cristalline silicon dioxide (J.Wiley &amp; Sons, Chicester, 2000). </w:t>
      </w:r>
      <w:r w:rsidRPr="00B62DC9">
        <w:rPr>
          <w:rFonts w:ascii="Times New Roman" w:hAnsi="Times New Roman" w:cs="Times New Roman"/>
          <w:sz w:val="24"/>
          <w:szCs w:val="24"/>
        </w:rPr>
        <w:t xml:space="preserve">R.A. </w:t>
      </w:r>
      <w:proofErr w:type="spellStart"/>
      <w:r w:rsidRPr="00B62DC9">
        <w:rPr>
          <w:rFonts w:ascii="Times New Roman" w:hAnsi="Times New Roman" w:cs="Times New Roman"/>
          <w:sz w:val="24"/>
          <w:szCs w:val="24"/>
        </w:rPr>
        <w:t>Weeks</w:t>
      </w:r>
      <w:proofErr w:type="spellEnd"/>
      <w:r w:rsidRPr="00B62DC9">
        <w:rPr>
          <w:rFonts w:ascii="Times New Roman" w:hAnsi="Times New Roman" w:cs="Times New Roman"/>
          <w:sz w:val="24"/>
          <w:szCs w:val="24"/>
        </w:rPr>
        <w:t xml:space="preserve">, J. </w:t>
      </w:r>
      <w:proofErr w:type="spellStart"/>
      <w:r w:rsidRPr="00B62DC9">
        <w:rPr>
          <w:rFonts w:ascii="Times New Roman" w:hAnsi="Times New Roman" w:cs="Times New Roman"/>
          <w:sz w:val="24"/>
          <w:szCs w:val="24"/>
        </w:rPr>
        <w:t>Appl</w:t>
      </w:r>
      <w:proofErr w:type="spellEnd"/>
      <w:r w:rsidRPr="00B62D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2DC9">
        <w:rPr>
          <w:rFonts w:ascii="Times New Roman" w:hAnsi="Times New Roman" w:cs="Times New Roman"/>
          <w:sz w:val="24"/>
          <w:szCs w:val="24"/>
        </w:rPr>
        <w:t>Phys</w:t>
      </w:r>
      <w:proofErr w:type="spellEnd"/>
      <w:r w:rsidRPr="00B62DC9">
        <w:rPr>
          <w:rFonts w:ascii="Times New Roman" w:hAnsi="Times New Roman" w:cs="Times New Roman"/>
          <w:sz w:val="24"/>
          <w:szCs w:val="24"/>
        </w:rPr>
        <w:t>. 27, 1376 (1956).</w:t>
      </w:r>
      <w:bookmarkStart w:id="0" w:name="_GoBack"/>
      <w:bookmarkEnd w:id="0"/>
    </w:p>
    <w:sectPr w:rsidR="005B3FEB" w:rsidRPr="00B62DC9" w:rsidSect="009F4AE9">
      <w:pgSz w:w="11906" w:h="16838"/>
      <w:pgMar w:top="1134" w:right="1361" w:bottom="1259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A5363"/>
    <w:multiLevelType w:val="hybridMultilevel"/>
    <w:tmpl w:val="64020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AE"/>
    <w:rsid w:val="001B6D67"/>
    <w:rsid w:val="002E3AC9"/>
    <w:rsid w:val="00307C0F"/>
    <w:rsid w:val="00372485"/>
    <w:rsid w:val="003C1F4C"/>
    <w:rsid w:val="004429EC"/>
    <w:rsid w:val="004D4582"/>
    <w:rsid w:val="005410B6"/>
    <w:rsid w:val="00596D05"/>
    <w:rsid w:val="005B3FEB"/>
    <w:rsid w:val="005B42A3"/>
    <w:rsid w:val="006A456F"/>
    <w:rsid w:val="00710490"/>
    <w:rsid w:val="0073009A"/>
    <w:rsid w:val="007738D6"/>
    <w:rsid w:val="009272EC"/>
    <w:rsid w:val="009F4AE9"/>
    <w:rsid w:val="00AF209D"/>
    <w:rsid w:val="00B62DC9"/>
    <w:rsid w:val="00BC549B"/>
    <w:rsid w:val="00C12ED8"/>
    <w:rsid w:val="00CE0868"/>
    <w:rsid w:val="00D403F1"/>
    <w:rsid w:val="00DE7768"/>
    <w:rsid w:val="00E5405E"/>
    <w:rsid w:val="00E81436"/>
    <w:rsid w:val="00F02BE3"/>
    <w:rsid w:val="00FC6059"/>
    <w:rsid w:val="00FC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E9E2"/>
  <w15:chartTrackingRefBased/>
  <w15:docId w15:val="{4579A144-3F38-4A62-9CE6-B03A406D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C0F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C63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3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3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3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3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3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3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3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3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63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63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63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63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63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63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63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63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63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6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3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63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6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63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63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63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63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63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63AE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307C0F"/>
    <w:pPr>
      <w:spacing w:after="0" w:line="240" w:lineRule="auto"/>
    </w:pPr>
  </w:style>
  <w:style w:type="table" w:styleId="ad">
    <w:name w:val="Table Grid"/>
    <w:basedOn w:val="a1"/>
    <w:uiPriority w:val="39"/>
    <w:rsid w:val="00307C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307C0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07C0F"/>
    <w:rPr>
      <w:color w:val="605E5C"/>
      <w:shd w:val="clear" w:color="auto" w:fill="E1DFDD"/>
    </w:rPr>
  </w:style>
  <w:style w:type="paragraph" w:customStyle="1" w:styleId="MDPI51figurecaption">
    <w:name w:val="MDPI_5.1_figure_caption"/>
    <w:qFormat/>
    <w:rsid w:val="00307C0F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val="en-US" w:eastAsia="de-DE" w:bidi="en-US"/>
      <w14:ligatures w14:val="none"/>
    </w:rPr>
  </w:style>
  <w:style w:type="paragraph" w:customStyle="1" w:styleId="MDPI31text">
    <w:name w:val="MDPI_3.1_text"/>
    <w:qFormat/>
    <w:rsid w:val="00307C0F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references">
    <w:name w:val="references"/>
    <w:qFormat/>
    <w:rsid w:val="004D4582"/>
    <w:pPr>
      <w:numPr>
        <w:numId w:val="2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4486B-9FDB-4873-AF5D-39449915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Седельников</dc:creator>
  <cp:keywords/>
  <dc:description/>
  <cp:lastModifiedBy>LaiousNikofor</cp:lastModifiedBy>
  <cp:revision>15</cp:revision>
  <dcterms:created xsi:type="dcterms:W3CDTF">2024-02-14T01:30:00Z</dcterms:created>
  <dcterms:modified xsi:type="dcterms:W3CDTF">2025-03-07T19:03:00Z</dcterms:modified>
</cp:coreProperties>
</file>