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A1C0" w14:textId="77777777" w:rsidR="00205C4C" w:rsidRPr="00C87DB2" w:rsidRDefault="00205C4C" w:rsidP="00205C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Генерация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терагерцового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излучения в молекулярных кристаллах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бифталатов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рубидия и натрия</w:t>
      </w:r>
    </w:p>
    <w:p w14:paraId="7D21F972" w14:textId="77777777" w:rsidR="00205C4C" w:rsidRDefault="00205C4C" w:rsidP="00205C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Кожевников Ф.А.</w:t>
      </w:r>
      <w:r w:rsidRPr="00F47A4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, Синько А.С.</w:t>
      </w:r>
      <w:r w:rsidRPr="00F47A4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2,3</w:t>
      </w:r>
      <w:r>
        <w:rPr>
          <w:rFonts w:ascii="Times New Roman" w:hAnsi="Times New Roman" w:cs="Times New Roman"/>
          <w:sz w:val="24"/>
          <w:szCs w:val="24"/>
          <w:lang w:val="ru-RU"/>
        </w:rPr>
        <w:t>, Козлова Н.Н.</w:t>
      </w:r>
      <w:r w:rsidRPr="00F47A4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Шкуринов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А.П.</w:t>
      </w:r>
      <w:r w:rsidRPr="00F47A4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2,3</w:t>
      </w:r>
    </w:p>
    <w:p w14:paraId="1B6B7B2F" w14:textId="77777777" w:rsidR="00205C4C" w:rsidRDefault="00205C4C" w:rsidP="00205C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7A4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Факультет космических исследований, МГУ им. М.В. Ломоносова</w:t>
      </w:r>
    </w:p>
    <w:p w14:paraId="05617BCA" w14:textId="77777777" w:rsidR="00205C4C" w:rsidRDefault="00205C4C" w:rsidP="00205C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7A4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Физический факультет, МГУ им. М.В. Ломоносова</w:t>
      </w:r>
    </w:p>
    <w:p w14:paraId="07D6B354" w14:textId="77777777" w:rsidR="00205C4C" w:rsidRPr="00F47A4A" w:rsidRDefault="00205C4C" w:rsidP="00205C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7A4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НИЦ «Курчатовский институт»</w:t>
      </w:r>
    </w:p>
    <w:p w14:paraId="52AA40CE" w14:textId="2F433FDD" w:rsidR="00205C4C" w:rsidRPr="00517E82" w:rsidRDefault="00205C4C" w:rsidP="00205C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377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в космосе средств генерации и передачи сигнала с частотами </w:t>
      </w:r>
      <w:proofErr w:type="spellStart"/>
      <w:r w:rsidRPr="00AF6377">
        <w:rPr>
          <w:rFonts w:ascii="Times New Roman" w:hAnsi="Times New Roman" w:cs="Times New Roman"/>
          <w:sz w:val="24"/>
          <w:szCs w:val="24"/>
          <w:lang w:val="ru-RU"/>
        </w:rPr>
        <w:t>терагерцового</w:t>
      </w:r>
      <w:proofErr w:type="spellEnd"/>
      <w:r w:rsidRPr="00AF6377">
        <w:rPr>
          <w:rFonts w:ascii="Times New Roman" w:hAnsi="Times New Roman" w:cs="Times New Roman"/>
          <w:sz w:val="24"/>
          <w:szCs w:val="24"/>
          <w:lang w:val="ru-RU"/>
        </w:rPr>
        <w:t xml:space="preserve"> диапазона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AF6377">
        <w:rPr>
          <w:rFonts w:ascii="Times New Roman" w:hAnsi="Times New Roman" w:cs="Times New Roman"/>
          <w:sz w:val="24"/>
          <w:szCs w:val="24"/>
          <w:lang w:val="ru-RU"/>
        </w:rPr>
        <w:t xml:space="preserve">это многообещающий, но малоизученный вид связи.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Данный тип</w:t>
      </w:r>
      <w:r w:rsidRPr="00AF6377">
        <w:rPr>
          <w:rFonts w:ascii="Times New Roman" w:hAnsi="Times New Roman" w:cs="Times New Roman"/>
          <w:sz w:val="24"/>
          <w:szCs w:val="24"/>
          <w:lang w:val="ru-RU"/>
        </w:rPr>
        <w:t xml:space="preserve"> излучени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F6377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 использован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задач</w:t>
      </w:r>
      <w:r w:rsidRPr="00AF6377">
        <w:rPr>
          <w:rFonts w:ascii="Times New Roman" w:hAnsi="Times New Roman" w:cs="Times New Roman"/>
          <w:sz w:val="24"/>
          <w:szCs w:val="24"/>
          <w:lang w:val="ru-RU"/>
        </w:rPr>
        <w:t xml:space="preserve"> связи в космическом пространстве наряду с развивающейся лазерной связью при дальних полетах космических аппаратов </w:t>
      </w:r>
      <w:r>
        <w:rPr>
          <w:rFonts w:ascii="Times New Roman" w:hAnsi="Times New Roman" w:cs="Times New Roman"/>
          <w:sz w:val="24"/>
          <w:szCs w:val="24"/>
          <w:lang w:val="ru-RU"/>
        </w:rPr>
        <w:t>благодаря более высокой скорости передачи данных по сравнению с радиочастотным диапазоном</w:t>
      </w:r>
      <w:r w:rsidRPr="00AF637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7E82">
        <w:rPr>
          <w:rFonts w:ascii="Times New Roman" w:hAnsi="Times New Roman" w:cs="Times New Roman"/>
          <w:sz w:val="24"/>
          <w:szCs w:val="24"/>
          <w:lang w:val="ru-RU"/>
        </w:rPr>
        <w:t xml:space="preserve">Расчёты подтвердили практическую реализуемость </w:t>
      </w:r>
      <w:proofErr w:type="spellStart"/>
      <w:r w:rsidRPr="00517E82">
        <w:rPr>
          <w:rFonts w:ascii="Times New Roman" w:hAnsi="Times New Roman" w:cs="Times New Roman"/>
          <w:sz w:val="24"/>
          <w:szCs w:val="24"/>
          <w:lang w:val="ru-RU"/>
        </w:rPr>
        <w:t>терагерцовой</w:t>
      </w:r>
      <w:proofErr w:type="spellEnd"/>
      <w:r w:rsidRPr="00517E82">
        <w:rPr>
          <w:rFonts w:ascii="Times New Roman" w:hAnsi="Times New Roman" w:cs="Times New Roman"/>
          <w:sz w:val="24"/>
          <w:szCs w:val="24"/>
          <w:lang w:val="ru-RU"/>
        </w:rPr>
        <w:t xml:space="preserve"> фотонной связи, а охлаждение чувствительных элементов и антенных конструкций устраняет ограничения по мощности для связи "борт–борт" и "Земля–борт". Параллельно развивается лазерная связь: создана база для среднескоростных линий (сотни Мбит/с) на основе полупроводниковых лазеров, а новое поколение аппаратуры на основе волоконных усилителей и твердотельных лазеров обеспечит пропускную способность до единиц Гбит/с. </w:t>
      </w:r>
      <w:proofErr w:type="spellStart"/>
      <w:proofErr w:type="gramStart"/>
      <w:r w:rsidRPr="00517E82">
        <w:rPr>
          <w:rFonts w:ascii="Times New Roman" w:hAnsi="Times New Roman" w:cs="Times New Roman"/>
          <w:sz w:val="24"/>
          <w:szCs w:val="24"/>
          <w:lang w:val="ru-RU"/>
        </w:rPr>
        <w:t>Терагерцовая</w:t>
      </w:r>
      <w:proofErr w:type="spellEnd"/>
      <w:proofErr w:type="gramEnd"/>
      <w:r w:rsidRPr="00517E82">
        <w:rPr>
          <w:rFonts w:ascii="Times New Roman" w:hAnsi="Times New Roman" w:cs="Times New Roman"/>
          <w:sz w:val="24"/>
          <w:szCs w:val="24"/>
          <w:lang w:val="ru-RU"/>
        </w:rPr>
        <w:t xml:space="preserve"> и лазерная связь дополняют друг друга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так как в обоих случаях в качестве основного элемента выступает лазер. </w:t>
      </w:r>
      <w:r w:rsidRPr="00517E8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D65B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17E82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68850DE1" w14:textId="0CBF5083" w:rsidR="00205C4C" w:rsidRPr="00F47A4A" w:rsidRDefault="00205C4C" w:rsidP="00205C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Ранее нашей группой был изучен к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ристалл </w:t>
      </w:r>
      <w:proofErr w:type="spellStart"/>
      <w:r w:rsidRPr="00F47A4A">
        <w:rPr>
          <w:rFonts w:ascii="Times New Roman" w:hAnsi="Times New Roman" w:cs="Times New Roman"/>
          <w:sz w:val="24"/>
          <w:szCs w:val="24"/>
          <w:lang w:val="ru-RU"/>
        </w:rPr>
        <w:t>бифталата</w:t>
      </w:r>
      <w:proofErr w:type="spellEnd"/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рубидия (C</w:t>
      </w:r>
      <w:r w:rsidRPr="001E49DE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6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>H</w:t>
      </w:r>
      <w:r w:rsidRPr="001E49DE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>(COOH)(</w:t>
      </w:r>
      <w:proofErr w:type="spellStart"/>
      <w:r w:rsidRPr="00F47A4A">
        <w:rPr>
          <w:rFonts w:ascii="Times New Roman" w:hAnsi="Times New Roman" w:cs="Times New Roman"/>
          <w:sz w:val="24"/>
          <w:szCs w:val="24"/>
          <w:lang w:val="ru-RU"/>
        </w:rPr>
        <w:t>COORb</w:t>
      </w:r>
      <w:proofErr w:type="spellEnd"/>
      <w:r w:rsidRPr="00F47A4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C3B7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RbAP</w:t>
      </w:r>
      <w:proofErr w:type="spellEnd"/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узкополосного источника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терагерцового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излучения </w:t>
      </w:r>
      <w:r w:rsidRPr="001E49DE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D65B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E49DE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Экспериментально 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было установлено,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данном 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>молекулярные кристалл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при возбуждении короткими лазерными импульсами возможна генерация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терагерцового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излучения со спектральной шириной линии в несколько ГГц. Далее в качестве объекта исследования 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>был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выбран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другие кристаллы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семейств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47A4A">
        <w:rPr>
          <w:rFonts w:ascii="Times New Roman" w:hAnsi="Times New Roman" w:cs="Times New Roman"/>
          <w:sz w:val="24"/>
          <w:szCs w:val="24"/>
          <w:lang w:val="ru-RU"/>
        </w:rPr>
        <w:t>бифталат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щелочных металлов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первым из которых был изучен кристалл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бифталата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натрия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NaAP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37251EB" w14:textId="241139E3" w:rsidR="00205C4C" w:rsidRPr="00836DC7" w:rsidRDefault="00205C4C" w:rsidP="00205C4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В ходе экспериментального исследования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диэлектрических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свойств монокристалла </w:t>
      </w:r>
      <w:proofErr w:type="spellStart"/>
      <w:r w:rsidRPr="00F47A4A">
        <w:rPr>
          <w:rFonts w:ascii="Times New Roman" w:hAnsi="Times New Roman" w:cs="Times New Roman"/>
          <w:sz w:val="24"/>
          <w:szCs w:val="24"/>
          <w:lang w:val="ru-RU"/>
        </w:rPr>
        <w:t>бифталата</w:t>
      </w:r>
      <w:proofErr w:type="spellEnd"/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натрия в </w:t>
      </w:r>
      <w:proofErr w:type="spellStart"/>
      <w:r w:rsidRPr="00F47A4A">
        <w:rPr>
          <w:rFonts w:ascii="Times New Roman" w:hAnsi="Times New Roman" w:cs="Times New Roman"/>
          <w:sz w:val="24"/>
          <w:szCs w:val="24"/>
          <w:lang w:val="ru-RU"/>
        </w:rPr>
        <w:t>терагерцовом</w:t>
      </w:r>
      <w:proofErr w:type="spellEnd"/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диапазоне частот при температурах от 10 до 293 К были получены спектры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коэффициента 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>поглощения и преломления. Особое внимание привлек обнаруженный в спектрах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коэффициента поглощения</w:t>
      </w:r>
      <w:r w:rsidRPr="00F47A4A">
        <w:rPr>
          <w:rFonts w:ascii="Times New Roman" w:hAnsi="Times New Roman" w:cs="Times New Roman"/>
          <w:sz w:val="24"/>
          <w:szCs w:val="24"/>
          <w:lang w:val="ru-RU"/>
        </w:rPr>
        <w:t xml:space="preserve"> ярко выраженный асимметричный резонанс </w:t>
      </w:r>
      <w:proofErr w:type="spellStart"/>
      <w:r w:rsidRPr="00F47A4A">
        <w:rPr>
          <w:rFonts w:ascii="Times New Roman" w:hAnsi="Times New Roman" w:cs="Times New Roman"/>
          <w:sz w:val="24"/>
          <w:szCs w:val="24"/>
          <w:lang w:val="ru-RU"/>
        </w:rPr>
        <w:t>Фано</w:t>
      </w:r>
      <w:proofErr w:type="spellEnd"/>
      <w:r w:rsidRPr="00F47A4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 xml:space="preserve">Уникальность данного явления заключается в том, что асимметричный профиль линии поглощения может быть связан с взаимодействием </w:t>
      </w:r>
      <w:proofErr w:type="spellStart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>солитонного</w:t>
      </w:r>
      <w:proofErr w:type="spellEnd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 xml:space="preserve"> возбуждения с колебательными модами кристаллической решетки. Предполагается, что при распространении солитона через кристалл происходит локальная деформация решетки, что приводит к модуляции электронной плотности. В качестве возможного объяснения механизма формирования резонанса </w:t>
      </w:r>
      <w:proofErr w:type="spellStart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>Фано</w:t>
      </w:r>
      <w:proofErr w:type="spellEnd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 xml:space="preserve"> можно рассмотреть гипотезу, что дислокационный солитон, который в некоторых случаях может быть описан в рамках модели Френкеля–Конторовой (где атомы в кристаллической решетке взаимодействуют между собой и с периодическим потенциалом подложки, формируя устойчивые </w:t>
      </w:r>
      <w:proofErr w:type="spellStart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>солитонные</w:t>
      </w:r>
      <w:proofErr w:type="spellEnd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 xml:space="preserve"> состояния, такие как </w:t>
      </w:r>
      <w:proofErr w:type="spellStart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>бризеры</w:t>
      </w:r>
      <w:proofErr w:type="spellEnd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 xml:space="preserve">), создает динамическое возмущение в </w:t>
      </w:r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кристаллической решетке. Это возмущение, в свою очередь, может взаимодействовать с </w:t>
      </w:r>
      <w:proofErr w:type="spellStart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>терагерцовым</w:t>
      </w:r>
      <w:proofErr w:type="spellEnd"/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 xml:space="preserve"> излучением, что потенциально объясняет наблюдаемый эффект.</w:t>
      </w:r>
      <w:r w:rsidR="00B53CAA" w:rsidRPr="00B53C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5C4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D65B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205C4C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205C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кристалле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NaAP</w:t>
      </w:r>
      <w:proofErr w:type="spellEnd"/>
      <w:r w:rsidRPr="00836D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 была получена узкополосная генерация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терагерцового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излучения при внешнем лазерном возбуждении.</w:t>
      </w:r>
    </w:p>
    <w:p w14:paraId="174D1C8A" w14:textId="59D51252" w:rsidR="00B53CAA" w:rsidRDefault="00B53CAA" w:rsidP="00205C4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5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5E2CB3B2" w14:textId="3233BAC5" w:rsidR="00ED65BB" w:rsidRPr="00ED65BB" w:rsidRDefault="00ED65BB" w:rsidP="00ED65BB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</w:t>
      </w:r>
      <w:r w:rsidRPr="00B53CAA">
        <w:rPr>
          <w:rFonts w:ascii="Arial" w:hAnsi="Arial" w:cs="Arial"/>
          <w:lang w:val="ru-RU"/>
        </w:rPr>
        <w:t xml:space="preserve">. Браун О., </w:t>
      </w:r>
      <w:proofErr w:type="spellStart"/>
      <w:r w:rsidRPr="00B53CAA">
        <w:rPr>
          <w:rFonts w:ascii="Arial" w:hAnsi="Arial" w:cs="Arial"/>
          <w:lang w:val="ru-RU"/>
        </w:rPr>
        <w:t>Кившарь</w:t>
      </w:r>
      <w:proofErr w:type="spellEnd"/>
      <w:r w:rsidRPr="00B53CAA">
        <w:rPr>
          <w:rFonts w:ascii="Arial" w:hAnsi="Arial" w:cs="Arial"/>
          <w:lang w:val="ru-RU"/>
        </w:rPr>
        <w:t xml:space="preserve"> Ю. Модель Френкеля–Конторовой. Концепции, методы, приложения. – </w:t>
      </w:r>
      <w:proofErr w:type="spellStart"/>
      <w:r w:rsidRPr="00B53CAA">
        <w:rPr>
          <w:rFonts w:ascii="Arial" w:hAnsi="Arial" w:cs="Arial"/>
          <w:lang w:val="ru-RU"/>
        </w:rPr>
        <w:t>Litres</w:t>
      </w:r>
      <w:proofErr w:type="spellEnd"/>
      <w:r w:rsidRPr="00B53CAA">
        <w:rPr>
          <w:rFonts w:ascii="Arial" w:hAnsi="Arial" w:cs="Arial"/>
          <w:lang w:val="ru-RU"/>
        </w:rPr>
        <w:t xml:space="preserve">, 2018. </w:t>
      </w:r>
    </w:p>
    <w:p w14:paraId="7B00E85C" w14:textId="11BCD84B" w:rsidR="00205C4C" w:rsidRPr="00B53CAA" w:rsidRDefault="00ED65BB" w:rsidP="00205C4C">
      <w:pPr>
        <w:jc w:val="both"/>
        <w:rPr>
          <w:rFonts w:ascii="Arial" w:hAnsi="Arial" w:cs="Arial"/>
        </w:rPr>
      </w:pPr>
      <w:r w:rsidRPr="00ED65BB">
        <w:rPr>
          <w:rFonts w:ascii="Arial" w:hAnsi="Arial" w:cs="Arial"/>
        </w:rPr>
        <w:t>2</w:t>
      </w:r>
      <w:r w:rsidR="00B53CAA" w:rsidRPr="00B53CAA">
        <w:rPr>
          <w:rFonts w:ascii="Arial" w:hAnsi="Arial" w:cs="Arial"/>
        </w:rPr>
        <w:t>.</w:t>
      </w:r>
      <w:r w:rsidR="00205C4C" w:rsidRPr="00B53CAA">
        <w:rPr>
          <w:rFonts w:ascii="Arial" w:hAnsi="Arial" w:cs="Arial"/>
        </w:rPr>
        <w:t xml:space="preserve"> </w:t>
      </w:r>
      <w:proofErr w:type="spellStart"/>
      <w:r w:rsidR="00205C4C" w:rsidRPr="00B53CAA">
        <w:rPr>
          <w:rFonts w:ascii="Arial" w:hAnsi="Arial" w:cs="Arial"/>
        </w:rPr>
        <w:t>Kartsan</w:t>
      </w:r>
      <w:proofErr w:type="spellEnd"/>
      <w:r w:rsidR="00205C4C" w:rsidRPr="00B53CAA">
        <w:rPr>
          <w:rFonts w:ascii="Arial" w:hAnsi="Arial" w:cs="Arial"/>
        </w:rPr>
        <w:t xml:space="preserve"> I. N. [Development concept of inter-satellite laser communication]. Siberian Aerospace Journal. 2023, Vol. 24, No. 2, P. 247–259. Doi: 10.31772/2712-8970-2023-24-2-247-259.</w:t>
      </w:r>
    </w:p>
    <w:p w14:paraId="299C629E" w14:textId="03071E10" w:rsidR="00751F6C" w:rsidRPr="00ED65BB" w:rsidRDefault="00ED65BB" w:rsidP="00ED65BB">
      <w:pPr>
        <w:jc w:val="both"/>
        <w:rPr>
          <w:rFonts w:ascii="Arial" w:hAnsi="Arial" w:cs="Arial"/>
        </w:rPr>
      </w:pPr>
      <w:r w:rsidRPr="00ED65BB">
        <w:rPr>
          <w:rFonts w:ascii="Arial" w:hAnsi="Arial" w:cs="Arial"/>
        </w:rPr>
        <w:t>3</w:t>
      </w:r>
      <w:r w:rsidR="00B53CAA" w:rsidRPr="00B53CAA">
        <w:rPr>
          <w:rFonts w:ascii="Arial" w:hAnsi="Arial" w:cs="Arial"/>
        </w:rPr>
        <w:t>.</w:t>
      </w:r>
      <w:r w:rsidR="00205C4C" w:rsidRPr="00B53CAA">
        <w:rPr>
          <w:rFonts w:ascii="Arial" w:hAnsi="Arial" w:cs="Arial"/>
        </w:rPr>
        <w:t xml:space="preserve"> </w:t>
      </w:r>
      <w:proofErr w:type="spellStart"/>
      <w:r w:rsidR="00205C4C" w:rsidRPr="00B53CAA">
        <w:rPr>
          <w:rFonts w:ascii="Arial" w:hAnsi="Arial" w:cs="Arial"/>
          <w:color w:val="222222"/>
          <w:shd w:val="clear" w:color="auto" w:fill="FFFFFF"/>
        </w:rPr>
        <w:t>Sinko</w:t>
      </w:r>
      <w:proofErr w:type="spellEnd"/>
      <w:r w:rsidR="00205C4C" w:rsidRPr="00B53CAA">
        <w:rPr>
          <w:rFonts w:ascii="Arial" w:hAnsi="Arial" w:cs="Arial"/>
          <w:color w:val="222222"/>
          <w:shd w:val="clear" w:color="auto" w:fill="FFFFFF"/>
        </w:rPr>
        <w:t xml:space="preserve">, A. S., </w:t>
      </w:r>
      <w:proofErr w:type="spellStart"/>
      <w:r w:rsidR="00205C4C" w:rsidRPr="00B53CAA">
        <w:rPr>
          <w:rFonts w:ascii="Arial" w:hAnsi="Arial" w:cs="Arial"/>
          <w:color w:val="222222"/>
          <w:shd w:val="clear" w:color="auto" w:fill="FFFFFF"/>
        </w:rPr>
        <w:t>Kozlova</w:t>
      </w:r>
      <w:proofErr w:type="spellEnd"/>
      <w:r w:rsidR="00205C4C" w:rsidRPr="00B53CAA">
        <w:rPr>
          <w:rFonts w:ascii="Arial" w:hAnsi="Arial" w:cs="Arial"/>
          <w:color w:val="222222"/>
          <w:shd w:val="clear" w:color="auto" w:fill="FFFFFF"/>
        </w:rPr>
        <w:t xml:space="preserve">, N. N., </w:t>
      </w:r>
      <w:proofErr w:type="spellStart"/>
      <w:r w:rsidR="00205C4C" w:rsidRPr="00B53CAA">
        <w:rPr>
          <w:rFonts w:ascii="Arial" w:hAnsi="Arial" w:cs="Arial"/>
          <w:color w:val="222222"/>
          <w:shd w:val="clear" w:color="auto" w:fill="FFFFFF"/>
        </w:rPr>
        <w:t>Manomenova</w:t>
      </w:r>
      <w:proofErr w:type="spellEnd"/>
      <w:r w:rsidR="00205C4C" w:rsidRPr="00B53CAA">
        <w:rPr>
          <w:rFonts w:ascii="Arial" w:hAnsi="Arial" w:cs="Arial"/>
          <w:color w:val="222222"/>
          <w:shd w:val="clear" w:color="auto" w:fill="FFFFFF"/>
        </w:rPr>
        <w:t xml:space="preserve">, V. L., </w:t>
      </w:r>
      <w:proofErr w:type="spellStart"/>
      <w:r w:rsidR="00205C4C" w:rsidRPr="00B53CAA">
        <w:rPr>
          <w:rFonts w:ascii="Arial" w:hAnsi="Arial" w:cs="Arial"/>
          <w:color w:val="222222"/>
          <w:shd w:val="clear" w:color="auto" w:fill="FFFFFF"/>
        </w:rPr>
        <w:t>Rudneva</w:t>
      </w:r>
      <w:proofErr w:type="spellEnd"/>
      <w:r w:rsidR="00205C4C" w:rsidRPr="00B53CAA">
        <w:rPr>
          <w:rFonts w:ascii="Arial" w:hAnsi="Arial" w:cs="Arial"/>
          <w:color w:val="222222"/>
          <w:shd w:val="clear" w:color="auto" w:fill="FFFFFF"/>
        </w:rPr>
        <w:t xml:space="preserve">, E. B., Voloshin, A. E., </w:t>
      </w:r>
      <w:proofErr w:type="spellStart"/>
      <w:r w:rsidR="00205C4C" w:rsidRPr="00B53CAA">
        <w:rPr>
          <w:rFonts w:ascii="Arial" w:hAnsi="Arial" w:cs="Arial"/>
          <w:color w:val="222222"/>
          <w:shd w:val="clear" w:color="auto" w:fill="FFFFFF"/>
        </w:rPr>
        <w:t>Novikova</w:t>
      </w:r>
      <w:proofErr w:type="spellEnd"/>
      <w:r w:rsidR="00205C4C" w:rsidRPr="00B53CAA">
        <w:rPr>
          <w:rFonts w:ascii="Arial" w:hAnsi="Arial" w:cs="Arial"/>
          <w:color w:val="222222"/>
          <w:shd w:val="clear" w:color="auto" w:fill="FFFFFF"/>
        </w:rPr>
        <w:t xml:space="preserve">, N. E., ... &amp; </w:t>
      </w:r>
      <w:proofErr w:type="spellStart"/>
      <w:r w:rsidR="00205C4C" w:rsidRPr="00B53CAA">
        <w:rPr>
          <w:rFonts w:ascii="Arial" w:hAnsi="Arial" w:cs="Arial"/>
          <w:color w:val="222222"/>
          <w:shd w:val="clear" w:color="auto" w:fill="FFFFFF"/>
        </w:rPr>
        <w:t>Shkurinov</w:t>
      </w:r>
      <w:proofErr w:type="spellEnd"/>
      <w:r w:rsidR="00205C4C" w:rsidRPr="00B53CAA">
        <w:rPr>
          <w:rFonts w:ascii="Arial" w:hAnsi="Arial" w:cs="Arial"/>
          <w:color w:val="222222"/>
          <w:shd w:val="clear" w:color="auto" w:fill="FFFFFF"/>
        </w:rPr>
        <w:t xml:space="preserve">, A. P. (2024). Multispectral Narrowband Terahertz Source Based on </w:t>
      </w:r>
      <w:proofErr w:type="spellStart"/>
      <w:r w:rsidR="00205C4C" w:rsidRPr="00B53CAA">
        <w:rPr>
          <w:rFonts w:ascii="Arial" w:hAnsi="Arial" w:cs="Arial"/>
          <w:color w:val="222222"/>
          <w:shd w:val="clear" w:color="auto" w:fill="FFFFFF"/>
        </w:rPr>
        <w:t>RbAP</w:t>
      </w:r>
      <w:proofErr w:type="spellEnd"/>
      <w:r w:rsidR="00205C4C" w:rsidRPr="00B53CAA">
        <w:rPr>
          <w:rFonts w:ascii="Arial" w:hAnsi="Arial" w:cs="Arial"/>
          <w:color w:val="222222"/>
          <w:shd w:val="clear" w:color="auto" w:fill="FFFFFF"/>
        </w:rPr>
        <w:t xml:space="preserve"> Molecular Crystal and a Tunable Metamaterial Filter. </w:t>
      </w:r>
      <w:r w:rsidR="00205C4C" w:rsidRPr="00B53CAA">
        <w:rPr>
          <w:rFonts w:ascii="Arial" w:hAnsi="Arial" w:cs="Arial"/>
          <w:i/>
          <w:iCs/>
          <w:color w:val="222222"/>
          <w:shd w:val="clear" w:color="auto" w:fill="FFFFFF"/>
        </w:rPr>
        <w:t>Journal of Surface Investigation: X-ray, Synchrotron and Neutron Techniques</w:t>
      </w:r>
      <w:r w:rsidR="00205C4C" w:rsidRPr="00B53CAA">
        <w:rPr>
          <w:rFonts w:ascii="Arial" w:hAnsi="Arial" w:cs="Arial"/>
          <w:color w:val="222222"/>
          <w:shd w:val="clear" w:color="auto" w:fill="FFFFFF"/>
        </w:rPr>
        <w:t>, </w:t>
      </w:r>
      <w:r w:rsidR="00205C4C" w:rsidRPr="00B53CAA">
        <w:rPr>
          <w:rFonts w:ascii="Arial" w:hAnsi="Arial" w:cs="Arial"/>
          <w:i/>
          <w:iCs/>
          <w:color w:val="222222"/>
          <w:shd w:val="clear" w:color="auto" w:fill="FFFFFF"/>
        </w:rPr>
        <w:t>18</w:t>
      </w:r>
      <w:r w:rsidR="00205C4C" w:rsidRPr="00B53CAA">
        <w:rPr>
          <w:rFonts w:ascii="Arial" w:hAnsi="Arial" w:cs="Arial"/>
          <w:color w:val="222222"/>
          <w:shd w:val="clear" w:color="auto" w:fill="FFFFFF"/>
        </w:rPr>
        <w:t>(6), 1516-1529.</w:t>
      </w:r>
    </w:p>
    <w:sectPr w:rsidR="00751F6C" w:rsidRPr="00ED6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4C"/>
    <w:rsid w:val="00205C4C"/>
    <w:rsid w:val="004A5AC9"/>
    <w:rsid w:val="00751F6C"/>
    <w:rsid w:val="00917982"/>
    <w:rsid w:val="00B53CAA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3D62"/>
  <w15:chartTrackingRefBased/>
  <w15:docId w15:val="{D369DFBF-34CC-46A5-8E50-AF5AE4D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05C4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05C4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05C4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5C4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05C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Ларионова</dc:creator>
  <cp:keywords/>
  <dc:description/>
  <cp:lastModifiedBy>Наталья Ларионова</cp:lastModifiedBy>
  <cp:revision>2</cp:revision>
  <dcterms:created xsi:type="dcterms:W3CDTF">2025-03-09T18:57:00Z</dcterms:created>
  <dcterms:modified xsi:type="dcterms:W3CDTF">2025-03-09T18:57:00Z</dcterms:modified>
</cp:coreProperties>
</file>