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A1E" w:rsidRDefault="00646A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6A1E" w:rsidRDefault="00000000" w:rsidP="00450E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Разработка спектрофотометрической методики диагностики эндотелиальной дисфункции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756F1" w:rsidRPr="00A44FC7" w:rsidRDefault="00000000" w:rsidP="003756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Лямина Ю.В.</w:t>
      </w:r>
      <w:r w:rsidRPr="006539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¹</w:t>
      </w:r>
      <w:r w:rsidR="00653940" w:rsidRPr="006539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3940">
        <w:rPr>
          <w:rFonts w:ascii="Times New Roman" w:eastAsia="Times New Roman" w:hAnsi="Times New Roman" w:cs="Times New Roman"/>
          <w:color w:val="000000"/>
          <w:sz w:val="24"/>
          <w:szCs w:val="24"/>
        </w:rPr>
        <w:t>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Мазинг М.С.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Глебов С.Н</w:t>
      </w:r>
      <w:r w:rsidRPr="00450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653940" w:rsidRPr="006539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3940">
        <w:rPr>
          <w:rFonts w:ascii="Times New Roman" w:eastAsia="Times New Roman" w:hAnsi="Times New Roman" w:cs="Times New Roman"/>
          <w:color w:val="000000"/>
          <w:sz w:val="24"/>
          <w:szCs w:val="24"/>
        </w:rPr>
        <w:t>²</w:t>
      </w:r>
      <w:r w:rsidR="003756F1" w:rsidRPr="00375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4F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³</w:t>
      </w:r>
    </w:p>
    <w:p w:rsidR="00076894" w:rsidRPr="00A44FC7" w:rsidRDefault="003756F1" w:rsidP="003756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D904D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аспирант</w:t>
      </w:r>
      <w:r w:rsidR="00A44FC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ы</w:t>
      </w:r>
    </w:p>
    <w:p w:rsidR="00646A1E" w:rsidRPr="00D904D6" w:rsidRDefault="00000000" w:rsidP="00800397">
      <w:pPr>
        <w:pBdr>
          <w:top w:val="nil"/>
          <w:left w:val="nil"/>
          <w:bottom w:val="nil"/>
          <w:right w:val="nil"/>
          <w:between w:val="nil"/>
        </w:pBdr>
        <w:ind w:left="858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904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¹ Санкт-Петербургский политехнический университет Петра Великого, физико-механический институт Санкт-Петербург, Россия</w:t>
      </w:r>
    </w:p>
    <w:p w:rsidR="00646A1E" w:rsidRPr="00D904D6" w:rsidRDefault="00000000" w:rsidP="00800397">
      <w:pPr>
        <w:pBdr>
          <w:top w:val="nil"/>
          <w:left w:val="nil"/>
          <w:bottom w:val="nil"/>
          <w:right w:val="nil"/>
          <w:between w:val="nil"/>
        </w:pBdr>
        <w:ind w:left="858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904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²</w:t>
      </w:r>
      <w:r w:rsidRPr="00D904D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D904D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Институт аналитического приборостроения РАН, Санкт-Петербург</w:t>
      </w:r>
      <w:r w:rsidRPr="00D904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Россия</w:t>
      </w:r>
    </w:p>
    <w:p w:rsidR="00646A1E" w:rsidRPr="00D904D6" w:rsidRDefault="00000000" w:rsidP="00800397">
      <w:pPr>
        <w:pBdr>
          <w:top w:val="nil"/>
          <w:left w:val="nil"/>
          <w:bottom w:val="nil"/>
          <w:right w:val="nil"/>
          <w:between w:val="nil"/>
        </w:pBdr>
        <w:ind w:left="858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904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³</w:t>
      </w:r>
      <w:r w:rsidRPr="00D904D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D904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Национальный исследовательский университет ИТМО</w:t>
      </w:r>
      <w:r w:rsidR="000D1E8E" w:rsidRPr="00D904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D904D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Санкт-Петербург</w:t>
      </w:r>
      <w:r w:rsidRPr="00D904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Россия</w:t>
      </w:r>
    </w:p>
    <w:p w:rsidR="00646A1E" w:rsidRPr="00D904D6" w:rsidRDefault="00000000" w:rsidP="00800397">
      <w:pPr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</w:pPr>
      <w:r w:rsidRPr="00D904D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E–mail: julia.liamina@gmail.com</w:t>
      </w:r>
    </w:p>
    <w:p w:rsidR="00646A1E" w:rsidRPr="00A44FC7" w:rsidRDefault="00000000" w:rsidP="00A44FC7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Эндотелиальная дисфункция (ЭД) является ключевым звеном в патогенезе широкого спектра сердечно-сосудистых и системных заболеваний, таких как</w:t>
      </w:r>
      <w:r w:rsidR="00086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атеросклероз, ишемическая болезнь сердца (ИБС), сахарный диабет и последствия тяжелого COVID-19. Традиционный метод диагностики ЭД – «кровоток-опосредованное расширение»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Flow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Mediated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Dilatation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FMD) – </w:t>
      </w:r>
      <w:r w:rsidR="00086031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«золотым стандартом», однако имеет ограничения, связанные со стоимостью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специализированного оборудования и зависимостью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исследования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квали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фикации </w:t>
      </w:r>
      <w:r w:rsidR="00987FEB">
        <w:rPr>
          <w:rFonts w:ascii="Times New Roman" w:eastAsia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Разработка неинвазивной спектрофотометрической методики, основанной на анализе оптических спектров тканей</w:t>
      </w:r>
      <w:r w:rsidR="008120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[1], представляет собой перспективную альтернативу для диагностики ЭД.</w:t>
      </w:r>
      <w:r w:rsidR="00A44F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359D" w:rsidRPr="0004359D">
        <w:rPr>
          <w:rFonts w:ascii="Times New Roman" w:eastAsia="Times New Roman" w:hAnsi="Times New Roman" w:cs="Times New Roman"/>
          <w:color w:val="000000"/>
          <w:sz w:val="24"/>
          <w:szCs w:val="24"/>
        </w:rPr>
        <w:t>В исследовании принял</w:t>
      </w:r>
      <w:r w:rsidR="002F37C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4359D" w:rsidRPr="00043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участие </w:t>
      </w:r>
      <w:r w:rsidR="002F37C1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="0004359D" w:rsidRPr="00043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пациент</w:t>
      </w:r>
      <w:r w:rsidR="002F37C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4359D" w:rsidRPr="00043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заболеваниями</w:t>
      </w:r>
      <w:r w:rsidR="00987F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сопутствующими </w:t>
      </w:r>
      <w:r w:rsidR="0004359D" w:rsidRPr="00043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эндотелиальной </w:t>
      </w:r>
      <w:r w:rsidR="002F37C1" w:rsidRPr="0004359D">
        <w:rPr>
          <w:rFonts w:ascii="Times New Roman" w:eastAsia="Times New Roman" w:hAnsi="Times New Roman" w:cs="Times New Roman"/>
          <w:color w:val="000000"/>
          <w:sz w:val="24"/>
          <w:szCs w:val="24"/>
        </w:rPr>
        <w:t>дисфункции</w:t>
      </w:r>
      <w:r w:rsidR="0004359D" w:rsidRPr="0004359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43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формирования группы сравнения были отобраны </w:t>
      </w:r>
      <w:r w:rsidR="002F37C1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здоровых испытуемых в возрасте до 45 лет. Перед началом исследования было проведено анкетирование, целью которого являлось выявление острых и хронических заболеваний, </w:t>
      </w:r>
      <w:r w:rsidR="00987F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сопутствующими или </w:t>
      </w:r>
      <w:r w:rsidR="00987FEB" w:rsidRPr="00987FEB">
        <w:rPr>
          <w:rFonts w:ascii="Times New Roman" w:hAnsi="Times New Roman" w:cs="Times New Roman"/>
          <w:color w:val="000000"/>
          <w:sz w:val="24"/>
          <w:szCs w:val="24"/>
        </w:rPr>
        <w:t>скоррелированными</w:t>
      </w:r>
      <w:r w:rsidR="00987FEB" w:rsidRPr="00987FEB">
        <w:rPr>
          <w:rFonts w:ascii="Helvetica Neue" w:hAnsi="Helvetica Neue" w:cs="Helvetica Neue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эндотелиальной дисфункцией. </w:t>
      </w:r>
      <w:r w:rsidR="005C2682" w:rsidRPr="005C2682">
        <w:rPr>
          <w:rFonts w:ascii="Times New Roman" w:eastAsia="Times New Roman" w:hAnsi="Times New Roman" w:cs="Times New Roman"/>
          <w:sz w:val="24"/>
          <w:szCs w:val="24"/>
        </w:rPr>
        <w:t>Особое внимание в исследовании уделялось состояниям, связанным с высоким риском развития</w:t>
      </w:r>
      <w:r w:rsidR="00987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682" w:rsidRPr="005C2682">
        <w:rPr>
          <w:rFonts w:ascii="Times New Roman" w:eastAsia="Times New Roman" w:hAnsi="Times New Roman" w:cs="Times New Roman"/>
          <w:sz w:val="24"/>
          <w:szCs w:val="24"/>
        </w:rPr>
        <w:t xml:space="preserve">ЭД, таким как </w:t>
      </w:r>
      <w:r w:rsidR="00086031" w:rsidRPr="005C2682">
        <w:rPr>
          <w:rFonts w:ascii="Times New Roman" w:eastAsia="Times New Roman" w:hAnsi="Times New Roman" w:cs="Times New Roman"/>
          <w:sz w:val="24"/>
          <w:szCs w:val="24"/>
        </w:rPr>
        <w:t>атеросклероз</w:t>
      </w:r>
      <w:r w:rsidR="00086031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5C2682" w:rsidRPr="005C2682">
        <w:rPr>
          <w:rFonts w:ascii="Times New Roman" w:eastAsia="Times New Roman" w:hAnsi="Times New Roman" w:cs="Times New Roman"/>
          <w:sz w:val="24"/>
          <w:szCs w:val="24"/>
        </w:rPr>
        <w:t xml:space="preserve"> ишемическая болезнь сердц</w:t>
      </w:r>
      <w:r w:rsidR="00987FE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C2682" w:rsidRPr="005C26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Также учитывались случаи тяжёлого течения COVID-19 в анамнезе в течение последнего года, требовавшие госпитализации, наличие онкологических заболеваний</w:t>
      </w:r>
      <w:r w:rsidR="0081205B" w:rsidRPr="0081205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проведение агрессивной химиотерапии, сахарный диабет, пожилой возраст, а также индекс массы тела</w:t>
      </w:r>
      <w:r w:rsidR="00086031">
        <w:rPr>
          <w:rFonts w:ascii="Times New Roman" w:eastAsia="Times New Roman" w:hAnsi="Times New Roman" w:cs="Times New Roman"/>
          <w:sz w:val="24"/>
          <w:szCs w:val="24"/>
        </w:rPr>
        <w:t xml:space="preserve"> (ИМТ)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более 40 кг/м². Полученные данные позволили сформировать группы пациентов с учётом факторов риска и сопутствующих заболеваний, влияющих на наличие эндотелиальной дисфункции.</w:t>
      </w:r>
    </w:p>
    <w:p w:rsidR="00646A1E" w:rsidRDefault="00000000" w:rsidP="00B63084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ходе </w:t>
      </w:r>
      <w:r w:rsidR="0081205B">
        <w:rPr>
          <w:rFonts w:ascii="Times New Roman" w:eastAsia="Times New Roman" w:hAnsi="Times New Roman" w:cs="Times New Roman"/>
          <w:sz w:val="24"/>
          <w:szCs w:val="24"/>
        </w:rPr>
        <w:t>эксперимента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был использован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18-канальный оптический анализатор, работающий в диапазоне длин волн от 410 до 940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нм</w:t>
      </w:r>
      <w:proofErr w:type="spellEnd"/>
      <w:r w:rsidR="00334B3B" w:rsidRPr="00334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[2]</w:t>
      </w:r>
      <w:r w:rsidR="00B57696" w:rsidRPr="00B5769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3084">
        <w:rPr>
          <w:rFonts w:ascii="Times New Roman" w:eastAsia="Times New Roman" w:hAnsi="Times New Roman" w:cs="Times New Roman"/>
          <w:sz w:val="24"/>
          <w:szCs w:val="24"/>
        </w:rPr>
        <w:t>разработанный в Институте аналитического приборостроения РАН (г. Санкт-Петербург)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6670E" w:rsidRPr="00866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Анализатор </w:t>
      </w:r>
      <w:r w:rsidR="005C268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состоит из</w:t>
      </w:r>
      <w:r w:rsidR="0086670E" w:rsidRPr="00866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светодиодны</w:t>
      </w:r>
      <w:r w:rsidR="005C268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86670E" w:rsidRPr="00866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источник</w:t>
      </w:r>
      <w:r w:rsidR="005C268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86670E" w:rsidRPr="00866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белого, красного и инфракрасного света</w:t>
      </w:r>
      <w:r w:rsidR="00334B3B" w:rsidRPr="00334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[3]</w:t>
      </w:r>
      <w:r w:rsidR="0086670E" w:rsidRPr="0086670E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фоточувствительны</w:t>
      </w:r>
      <w:r w:rsidR="005C268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86670E" w:rsidRPr="00866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элемент</w:t>
      </w:r>
      <w:r w:rsidR="005C268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86670E" w:rsidRPr="0086670E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предназначенны</w:t>
      </w:r>
      <w:r w:rsidR="005C268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86670E" w:rsidRPr="00866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регистрации отражённого излучения.</w:t>
      </w:r>
      <w:r w:rsidR="00866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205B">
        <w:rPr>
          <w:rFonts w:ascii="Times New Roman" w:eastAsia="Times New Roman" w:hAnsi="Times New Roman" w:cs="Times New Roman"/>
          <w:sz w:val="24"/>
          <w:szCs w:val="24"/>
        </w:rPr>
        <w:t>Работа анализатора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обеспечива</w:t>
      </w:r>
      <w:r w:rsidR="0081205B">
        <w:rPr>
          <w:rFonts w:ascii="Times New Roman" w:eastAsia="Times New Roman" w:hAnsi="Times New Roman" w:cs="Times New Roman"/>
          <w:sz w:val="24"/>
          <w:szCs w:val="24"/>
        </w:rPr>
        <w:t>лась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спектрофотометрическим каналом, который позволя</w:t>
      </w:r>
      <w:r w:rsidR="0081205B">
        <w:rPr>
          <w:rFonts w:ascii="Times New Roman" w:eastAsia="Times New Roman" w:hAnsi="Times New Roman" w:cs="Times New Roman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оценивать объемное кровенаполнение микроциркуляторного русла ткани в зоне измерения. Оценка проводилась на основе методологии абсорбционной спектроскопии, учитывающей светорассеяние и поглощение в биологических средах. </w:t>
      </w:r>
      <w:r w:rsidR="00B63084" w:rsidRPr="00B6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084">
        <w:rPr>
          <w:rFonts w:ascii="Times New Roman" w:eastAsia="Times New Roman" w:hAnsi="Times New Roman" w:cs="Times New Roman"/>
          <w:color w:val="000000"/>
          <w:sz w:val="24"/>
          <w:szCs w:val="24"/>
        </w:rPr>
        <w:t>Оптический анализатор</w:t>
      </w:r>
      <w:r w:rsidR="00B63084" w:rsidRPr="00B63084">
        <w:rPr>
          <w:rFonts w:ascii="Times New Roman" w:eastAsia="Times New Roman" w:hAnsi="Times New Roman" w:cs="Times New Roman"/>
          <w:sz w:val="24"/>
          <w:szCs w:val="24"/>
        </w:rPr>
        <w:t xml:space="preserve"> работает в режиме отражения, при котором источник света и детектор находятся с одной стороны относительно исследуемой биологической ткани. В данном режиме регистрируется излучение, рассеянное тканями в обратном направлении. </w:t>
      </w:r>
      <w:r w:rsidR="00B57696">
        <w:rPr>
          <w:rFonts w:ascii="Times New Roman" w:eastAsia="Times New Roman" w:hAnsi="Times New Roman" w:cs="Times New Roman"/>
          <w:sz w:val="24"/>
          <w:szCs w:val="24"/>
        </w:rPr>
        <w:t>Максимальная г</w:t>
      </w:r>
      <w:r w:rsidR="00B63084" w:rsidRPr="00B63084">
        <w:rPr>
          <w:rFonts w:ascii="Times New Roman" w:eastAsia="Times New Roman" w:hAnsi="Times New Roman" w:cs="Times New Roman"/>
          <w:sz w:val="24"/>
          <w:szCs w:val="24"/>
        </w:rPr>
        <w:t>лубина проникновения излучения в ткани 2,5 мм.</w:t>
      </w:r>
    </w:p>
    <w:p w:rsidR="002F37C1" w:rsidRPr="00450ED7" w:rsidRDefault="00F0578B" w:rsidP="00450ED7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ходе эксперимента у испытуемых была проведена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0578B">
        <w:rPr>
          <w:rFonts w:ascii="Times New Roman" w:eastAsia="Times New Roman" w:hAnsi="Times New Roman" w:cs="Times New Roman"/>
          <w:sz w:val="24"/>
          <w:szCs w:val="24"/>
        </w:rPr>
        <w:t>кклюзионная</w:t>
      </w:r>
      <w:proofErr w:type="spellEnd"/>
      <w:r w:rsidRPr="00F0578B">
        <w:rPr>
          <w:rFonts w:ascii="Times New Roman" w:eastAsia="Times New Roman" w:hAnsi="Times New Roman" w:cs="Times New Roman"/>
          <w:sz w:val="24"/>
          <w:szCs w:val="24"/>
        </w:rPr>
        <w:t xml:space="preserve"> проба в положении сидя с фиксацией оптического датчика на внутренней стороне предплечья </w:t>
      </w:r>
      <w:r w:rsidR="0081205B">
        <w:rPr>
          <w:rFonts w:ascii="Times New Roman" w:eastAsia="Times New Roman" w:hAnsi="Times New Roman" w:cs="Times New Roman"/>
          <w:sz w:val="24"/>
          <w:szCs w:val="24"/>
        </w:rPr>
        <w:t>левой</w:t>
      </w:r>
      <w:r w:rsidRPr="00F0578B">
        <w:rPr>
          <w:rFonts w:ascii="Times New Roman" w:eastAsia="Times New Roman" w:hAnsi="Times New Roman" w:cs="Times New Roman"/>
          <w:sz w:val="24"/>
          <w:szCs w:val="24"/>
        </w:rPr>
        <w:t xml:space="preserve"> руки. Измерения провод</w:t>
      </w:r>
      <w:r>
        <w:rPr>
          <w:rFonts w:ascii="Times New Roman" w:eastAsia="Times New Roman" w:hAnsi="Times New Roman" w:cs="Times New Roman"/>
          <w:sz w:val="24"/>
          <w:szCs w:val="24"/>
        </w:rPr>
        <w:t>ились</w:t>
      </w:r>
      <w:r w:rsidRPr="00F0578B">
        <w:rPr>
          <w:rFonts w:ascii="Times New Roman" w:eastAsia="Times New Roman" w:hAnsi="Times New Roman" w:cs="Times New Roman"/>
          <w:sz w:val="24"/>
          <w:szCs w:val="24"/>
        </w:rPr>
        <w:t xml:space="preserve"> каждые 7 секунд. Перв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ую минуту </w:t>
      </w:r>
      <w:r w:rsidR="00987FEB">
        <w:rPr>
          <w:rFonts w:ascii="Times New Roman" w:eastAsia="Times New Roman" w:hAnsi="Times New Roman" w:cs="Times New Roman"/>
          <w:sz w:val="24"/>
          <w:szCs w:val="24"/>
        </w:rPr>
        <w:t>измерялось</w:t>
      </w:r>
      <w:r w:rsidR="00812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578B">
        <w:rPr>
          <w:rFonts w:ascii="Times New Roman" w:eastAsia="Times New Roman" w:hAnsi="Times New Roman" w:cs="Times New Roman"/>
          <w:sz w:val="24"/>
          <w:szCs w:val="24"/>
        </w:rPr>
        <w:t>состояние покоя, затем на плечо накладыва</w:t>
      </w:r>
      <w:r w:rsidR="0081205B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F0578B">
        <w:rPr>
          <w:rFonts w:ascii="Times New Roman" w:eastAsia="Times New Roman" w:hAnsi="Times New Roman" w:cs="Times New Roman"/>
          <w:sz w:val="24"/>
          <w:szCs w:val="24"/>
        </w:rPr>
        <w:t xml:space="preserve"> манжету и нагнета</w:t>
      </w:r>
      <w:r w:rsidR="0081205B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F0578B">
        <w:rPr>
          <w:rFonts w:ascii="Times New Roman" w:eastAsia="Times New Roman" w:hAnsi="Times New Roman" w:cs="Times New Roman"/>
          <w:sz w:val="24"/>
          <w:szCs w:val="24"/>
        </w:rPr>
        <w:t xml:space="preserve"> давление до 180 мм рт. ст. на 3 минуты. После этого данные регистри</w:t>
      </w:r>
      <w:r w:rsidR="0081205B">
        <w:rPr>
          <w:rFonts w:ascii="Times New Roman" w:eastAsia="Times New Roman" w:hAnsi="Times New Roman" w:cs="Times New Roman"/>
          <w:sz w:val="24"/>
          <w:szCs w:val="24"/>
        </w:rPr>
        <w:t>ровались</w:t>
      </w:r>
      <w:r w:rsidRPr="00F0578B">
        <w:rPr>
          <w:rFonts w:ascii="Times New Roman" w:eastAsia="Times New Roman" w:hAnsi="Times New Roman" w:cs="Times New Roman"/>
          <w:sz w:val="24"/>
          <w:szCs w:val="24"/>
        </w:rPr>
        <w:t xml:space="preserve"> ещё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0578B">
        <w:rPr>
          <w:rFonts w:ascii="Times New Roman" w:eastAsia="Times New Roman" w:hAnsi="Times New Roman" w:cs="Times New Roman"/>
          <w:sz w:val="24"/>
          <w:szCs w:val="24"/>
        </w:rPr>
        <w:t xml:space="preserve"> минуты во время гиперемии. Вся </w:t>
      </w:r>
      <w:r w:rsidRPr="00F0578B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информация переда</w:t>
      </w:r>
      <w:r w:rsidR="0081205B">
        <w:rPr>
          <w:rFonts w:ascii="Times New Roman" w:eastAsia="Times New Roman" w:hAnsi="Times New Roman" w:cs="Times New Roman"/>
          <w:sz w:val="24"/>
          <w:szCs w:val="24"/>
        </w:rPr>
        <w:t>валась</w:t>
      </w:r>
      <w:r w:rsidRPr="00F0578B">
        <w:rPr>
          <w:rFonts w:ascii="Times New Roman" w:eastAsia="Times New Roman" w:hAnsi="Times New Roman" w:cs="Times New Roman"/>
          <w:sz w:val="24"/>
          <w:szCs w:val="24"/>
        </w:rPr>
        <w:t xml:space="preserve"> на компьютер для анализа.</w:t>
      </w:r>
      <w:r w:rsidR="00450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 проведен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сравнительный анализ оптических спектров у пациентов с заболеваниями, </w:t>
      </w:r>
      <w:r w:rsidR="00987FEB">
        <w:rPr>
          <w:rFonts w:ascii="Times New Roman" w:eastAsia="Times New Roman" w:hAnsi="Times New Roman" w:cs="Times New Roman"/>
          <w:color w:val="000000"/>
          <w:sz w:val="24"/>
          <w:szCs w:val="24"/>
        </w:rPr>
        <w:t>сопутствующими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ЭД, и контрольной группы. Для обработки данных применены методы машинного обучения.</w:t>
      </w:r>
      <w:r w:rsidR="002F37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пациентов с заболеваниями, </w:t>
      </w:r>
      <w:r w:rsidR="00086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сопутствующими 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ЭД (атеросклероз, ИБС, последствия COVID-19 и др.), обнаружен</w:t>
      </w:r>
      <w:r w:rsidR="00671CC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E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значительные </w:t>
      </w:r>
      <w:r w:rsidR="00671CC0">
        <w:rPr>
          <w:rFonts w:ascii="Times New Roman" w:hAnsi="Times New Roman" w:cs="Times New Roman"/>
          <w:color w:val="000000"/>
          <w:sz w:val="24"/>
          <w:szCs w:val="24"/>
        </w:rPr>
        <w:t>снижение</w:t>
      </w:r>
      <w:r w:rsidR="005C2682" w:rsidRPr="00EE3509">
        <w:rPr>
          <w:rFonts w:ascii="Times New Roman" w:hAnsi="Times New Roman" w:cs="Times New Roman"/>
          <w:color w:val="000000"/>
          <w:sz w:val="24"/>
          <w:szCs w:val="24"/>
        </w:rPr>
        <w:t xml:space="preserve"> интенсивности поглощения</w:t>
      </w:r>
      <w:r w:rsidR="00671C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2682" w:rsidRPr="00EE3509">
        <w:rPr>
          <w:rFonts w:ascii="Times New Roman" w:hAnsi="Times New Roman" w:cs="Times New Roman"/>
          <w:color w:val="000000"/>
          <w:sz w:val="24"/>
          <w:szCs w:val="24"/>
        </w:rPr>
        <w:t>света</w:t>
      </w:r>
      <w:r w:rsidR="00671C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671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некоторых длинах волн 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по сравнению с контрольной группой</w:t>
      </w:r>
      <w:r w:rsidR="00987FEB" w:rsidRPr="00987F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87FEB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87FEB" w:rsidRPr="00F0578B">
        <w:rPr>
          <w:rFonts w:ascii="Times New Roman" w:eastAsia="Times New Roman" w:hAnsi="Times New Roman" w:cs="Times New Roman"/>
          <w:sz w:val="24"/>
          <w:szCs w:val="24"/>
        </w:rPr>
        <w:t>гиперемии</w:t>
      </w:r>
      <w:r w:rsidR="00987FEB" w:rsidRPr="00987FE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F3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522B" w:rsidRPr="00E6522B">
        <w:rPr>
          <w:rFonts w:ascii="Times New Roman" w:eastAsia="Times New Roman" w:hAnsi="Times New Roman" w:cs="Times New Roman"/>
          <w:color w:val="000000"/>
          <w:sz w:val="24"/>
          <w:szCs w:val="24"/>
        </w:rPr>
        <w:t>Был проведен статистический анализ различий между группами нормы и патологии с использованием теста Манна-Уитни (p-</w:t>
      </w:r>
      <w:proofErr w:type="spellStart"/>
      <w:r w:rsidR="00E6522B" w:rsidRPr="00E6522B">
        <w:rPr>
          <w:rFonts w:ascii="Times New Roman" w:eastAsia="Times New Roman" w:hAnsi="Times New Roman" w:cs="Times New Roman"/>
          <w:color w:val="000000"/>
          <w:sz w:val="24"/>
          <w:szCs w:val="24"/>
        </w:rPr>
        <w:t>value</w:t>
      </w:r>
      <w:proofErr w:type="spellEnd"/>
      <w:r w:rsidR="00E6522B" w:rsidRPr="00E6522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2F37C1">
        <w:rPr>
          <w:rFonts w:ascii="Times New Roman" w:eastAsia="Times New Roman" w:hAnsi="Times New Roman" w:cs="Times New Roman"/>
          <w:color w:val="000000"/>
          <w:sz w:val="24"/>
          <w:szCs w:val="24"/>
        </w:rPr>
        <w:t>(Рисунок 1)</w:t>
      </w:r>
      <w:r w:rsidR="00E6522B" w:rsidRPr="00E652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результате анализа были выявлены статистически значимые различия на следующих длинах волн (в </w:t>
      </w:r>
      <w:proofErr w:type="spellStart"/>
      <w:r w:rsidR="00E6522B" w:rsidRPr="00E6522B">
        <w:rPr>
          <w:rFonts w:ascii="Times New Roman" w:eastAsia="Times New Roman" w:hAnsi="Times New Roman" w:cs="Times New Roman"/>
          <w:color w:val="000000"/>
          <w:sz w:val="24"/>
          <w:szCs w:val="24"/>
        </w:rPr>
        <w:t>нм</w:t>
      </w:r>
      <w:proofErr w:type="spellEnd"/>
      <w:r w:rsidR="00E6522B" w:rsidRPr="00E6522B">
        <w:rPr>
          <w:rFonts w:ascii="Times New Roman" w:eastAsia="Times New Roman" w:hAnsi="Times New Roman" w:cs="Times New Roman"/>
          <w:color w:val="000000"/>
          <w:sz w:val="24"/>
          <w:szCs w:val="24"/>
        </w:rPr>
        <w:t>): 560 (p=0.025), 585 (p=0.025), 705 (p=0.</w:t>
      </w:r>
      <w:r w:rsidR="00E6522B" w:rsidRPr="00450ED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044), 760 (p=0.038), 860 (p=0.044), 410 (p=0.036), 610 </w:t>
      </w:r>
      <w:r w:rsidR="00024D55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1343025</wp:posOffset>
            </wp:positionH>
            <wp:positionV relativeFrom="page">
              <wp:posOffset>2753360</wp:posOffset>
            </wp:positionV>
            <wp:extent cx="3268345" cy="324231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22B" w:rsidRPr="00450ED7">
        <w:rPr>
          <w:rFonts w:ascii="Times New Roman" w:eastAsia="Times New Roman" w:hAnsi="Times New Roman" w:cs="Times New Roman"/>
          <w:color w:val="000000"/>
          <w:sz w:val="22"/>
          <w:szCs w:val="22"/>
        </w:rPr>
        <w:t>(p=0.036), 680 (p=0.041).</w:t>
      </w:r>
      <w:r w:rsidR="00671CC0" w:rsidRPr="00450ED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2F37C1" w:rsidRPr="00450ED7" w:rsidRDefault="00450ED7" w:rsidP="002F37C1">
      <w:pPr>
        <w:pStyle w:val="20"/>
        <w:spacing w:line="240" w:lineRule="auto"/>
        <w:jc w:val="center"/>
        <w:rPr>
          <w:sz w:val="22"/>
          <w:szCs w:val="22"/>
        </w:rPr>
      </w:pPr>
      <w:r w:rsidRPr="00450ED7">
        <w:rPr>
          <w:sz w:val="22"/>
          <w:szCs w:val="22"/>
        </w:rPr>
        <w:t>Рис. 1. Сравнение результатов окклюзии между группой сравнения (</w:t>
      </w:r>
      <w:r w:rsidR="00D83618">
        <w:rPr>
          <w:sz w:val="22"/>
          <w:szCs w:val="22"/>
        </w:rPr>
        <w:t>нижняя</w:t>
      </w:r>
      <w:r w:rsidRPr="00450ED7">
        <w:rPr>
          <w:sz w:val="22"/>
          <w:szCs w:val="22"/>
        </w:rPr>
        <w:t xml:space="preserve"> линия) и контрольной группой (</w:t>
      </w:r>
      <w:r w:rsidR="00D83618">
        <w:rPr>
          <w:sz w:val="22"/>
          <w:szCs w:val="22"/>
        </w:rPr>
        <w:t xml:space="preserve">верхняя </w:t>
      </w:r>
      <w:r w:rsidR="00D83618" w:rsidRPr="00450ED7">
        <w:rPr>
          <w:sz w:val="22"/>
          <w:szCs w:val="22"/>
        </w:rPr>
        <w:t>линия</w:t>
      </w:r>
      <w:r w:rsidRPr="00450ED7">
        <w:rPr>
          <w:sz w:val="22"/>
          <w:szCs w:val="22"/>
        </w:rPr>
        <w:t xml:space="preserve">) на различных длинах волн (410–900 </w:t>
      </w:r>
      <w:proofErr w:type="spellStart"/>
      <w:r w:rsidRPr="00450ED7">
        <w:rPr>
          <w:sz w:val="22"/>
          <w:szCs w:val="22"/>
        </w:rPr>
        <w:t>нм</w:t>
      </w:r>
      <w:proofErr w:type="spellEnd"/>
      <w:r w:rsidRPr="00450ED7">
        <w:rPr>
          <w:sz w:val="22"/>
          <w:szCs w:val="22"/>
        </w:rPr>
        <w:t>) с указанием значения p (p-</w:t>
      </w:r>
      <w:proofErr w:type="spellStart"/>
      <w:r w:rsidRPr="00450ED7">
        <w:rPr>
          <w:sz w:val="22"/>
          <w:szCs w:val="22"/>
        </w:rPr>
        <w:t>value</w:t>
      </w:r>
      <w:proofErr w:type="spellEnd"/>
      <w:r w:rsidRPr="00450ED7">
        <w:rPr>
          <w:sz w:val="22"/>
          <w:szCs w:val="22"/>
        </w:rPr>
        <w:t>) по критерию Манна–Уитни.</w:t>
      </w:r>
    </w:p>
    <w:p w:rsidR="002F37C1" w:rsidRDefault="00450ED7" w:rsidP="00671CC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46A1E" w:rsidRDefault="00E6522B" w:rsidP="00450E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52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Наиболее значительные изменения спектров были зафиксированы у пациентов </w:t>
      </w:r>
      <w:r w:rsidR="00086031" w:rsidRPr="00086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652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атеросклерозом. 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пациентов с ожирением (ИМТ &gt;40) и пожилых людей также выявлены значительные отклонения в спектрах, что согласуется с известной связью этих факторов с ЭД.  </w:t>
      </w:r>
      <w:r w:rsidR="00671CC0" w:rsidRPr="00671CC0">
        <w:rPr>
          <w:rFonts w:ascii="Times New Roman" w:hAnsi="Times New Roman" w:cs="Times New Roman"/>
          <w:color w:val="000000"/>
          <w:sz w:val="24"/>
          <w:szCs w:val="24"/>
        </w:rPr>
        <w:t>Полученные результаты подтверждают необходимость проведения сравнительного анализа спектрофотометрической методики с методом FMD (</w:t>
      </w:r>
      <w:proofErr w:type="spellStart"/>
      <w:r w:rsidR="00671CC0" w:rsidRPr="00671CC0">
        <w:rPr>
          <w:rFonts w:ascii="Times New Roman" w:hAnsi="Times New Roman" w:cs="Times New Roman"/>
          <w:color w:val="000000"/>
          <w:sz w:val="24"/>
          <w:szCs w:val="24"/>
        </w:rPr>
        <w:t>Flow-Mediated</w:t>
      </w:r>
      <w:proofErr w:type="spellEnd"/>
      <w:r w:rsidR="00671CC0" w:rsidRPr="00671C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1CC0" w:rsidRPr="00671CC0">
        <w:rPr>
          <w:rFonts w:ascii="Times New Roman" w:hAnsi="Times New Roman" w:cs="Times New Roman"/>
          <w:color w:val="000000"/>
          <w:sz w:val="24"/>
          <w:szCs w:val="24"/>
        </w:rPr>
        <w:t>Dilation</w:t>
      </w:r>
      <w:proofErr w:type="spellEnd"/>
      <w:r w:rsidR="00671CC0" w:rsidRPr="00671CC0">
        <w:rPr>
          <w:rFonts w:ascii="Times New Roman" w:hAnsi="Times New Roman" w:cs="Times New Roman"/>
          <w:color w:val="000000"/>
          <w:sz w:val="24"/>
          <w:szCs w:val="24"/>
        </w:rPr>
        <w:t>) для валидации и оценки потенциала применения данного метода в диагностике и мониторинге эффективности терапии у пациентов с эндотелиальной дисфункцией.</w:t>
      </w:r>
      <w:r w:rsidR="00B57696" w:rsidRPr="00B57696">
        <w:rPr>
          <w:rFonts w:ascii="Helvetica Neue" w:hAnsi="Helvetica Neue" w:cs="Helvetica Neue"/>
          <w:color w:val="000000"/>
          <w:sz w:val="26"/>
          <w:szCs w:val="26"/>
        </w:rPr>
        <w:t xml:space="preserve"> </w:t>
      </w:r>
    </w:p>
    <w:p w:rsidR="00646A1E" w:rsidRDefault="00000000">
      <w:pPr>
        <w:pBdr>
          <w:top w:val="nil"/>
          <w:left w:val="nil"/>
          <w:bottom w:val="nil"/>
          <w:right w:val="nil"/>
          <w:between w:val="nil"/>
        </w:pBdr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646A1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Давыдов В.В., </w:t>
      </w:r>
      <w:proofErr w:type="spellStart"/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>Гребеникова</w:t>
      </w:r>
      <w:proofErr w:type="spellEnd"/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Н.М., Смирнов К.Ю. Оптический метод контроля состояния текучих сред с низкой прозрачностью, содержащих крупные включения // Методы измерения. 2019. Т. 62, № 6. С. 519–526. Сентябрь 2019 г.</w:t>
      </w:r>
    </w:p>
    <w:p w:rsidR="00646A1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>Давыдов В.В., Порфирьева Е.В., Давыдов Р.В. Неразрушающий метод контроля эластичности стенок вен и артерий человека // Российский журнал неразрушающего контроля. 2022. Т. 58, № 9. С. 847–857. Сентябрь 2022 г.</w:t>
      </w:r>
    </w:p>
    <w:p w:rsidR="00334B3B" w:rsidRPr="00334B3B" w:rsidRDefault="00334B3B" w:rsidP="00334B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34B3B">
        <w:rPr>
          <w:rFonts w:ascii="Times New Roman" w:eastAsia="Times New Roman" w:hAnsi="Times New Roman" w:cs="Times New Roman"/>
          <w:color w:val="404040"/>
          <w:sz w:val="24"/>
          <w:szCs w:val="24"/>
        </w:rPr>
        <w:t>Наумова В., Куркова А., Давыдов Р., Зайцева А. Метод анализа нарушений</w:t>
      </w:r>
    </w:p>
    <w:p w:rsidR="00646A1E" w:rsidRPr="00450ED7" w:rsidRDefault="00334B3B" w:rsidP="00334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34B3B">
        <w:rPr>
          <w:rFonts w:ascii="Times New Roman" w:eastAsia="Times New Roman" w:hAnsi="Times New Roman" w:cs="Times New Roman"/>
          <w:color w:val="404040"/>
          <w:sz w:val="24"/>
          <w:szCs w:val="24"/>
        </w:rPr>
        <w:t>насыщения тканей кислородом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val="en-US"/>
        </w:rPr>
        <w:t xml:space="preserve"> </w:t>
      </w:r>
      <w:r w:rsidRPr="00334B3B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// </w:t>
      </w:r>
      <w:proofErr w:type="spellStart"/>
      <w:r w:rsidRPr="00334B3B">
        <w:rPr>
          <w:rFonts w:ascii="Times New Roman" w:eastAsia="Times New Roman" w:hAnsi="Times New Roman" w:cs="Times New Roman"/>
          <w:color w:val="404040"/>
          <w:sz w:val="24"/>
          <w:szCs w:val="24"/>
        </w:rPr>
        <w:t>EExPolytech</w:t>
      </w:r>
      <w:proofErr w:type="spellEnd"/>
      <w:r w:rsidRPr="00334B3B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2022. 2022. С. 151–153.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val="en-US"/>
        </w:rPr>
        <w:t xml:space="preserve"> </w:t>
      </w:r>
      <w:r w:rsidRPr="00334B3B">
        <w:rPr>
          <w:rFonts w:ascii="Times New Roman" w:eastAsia="Times New Roman" w:hAnsi="Times New Roman" w:cs="Times New Roman"/>
          <w:color w:val="404040"/>
          <w:sz w:val="24"/>
          <w:szCs w:val="24"/>
        </w:rPr>
        <w:t>Октябрь 2022 г.</w:t>
      </w:r>
    </w:p>
    <w:sectPr w:rsidR="00646A1E" w:rsidRPr="00450ED7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02AC"/>
    <w:multiLevelType w:val="multilevel"/>
    <w:tmpl w:val="7A64EF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7DF3226"/>
    <w:multiLevelType w:val="hybridMultilevel"/>
    <w:tmpl w:val="E4FE90E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965030">
    <w:abstractNumId w:val="0"/>
  </w:num>
  <w:num w:numId="2" w16cid:durableId="1477649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1E"/>
    <w:rsid w:val="00024D55"/>
    <w:rsid w:val="0004359D"/>
    <w:rsid w:val="00076894"/>
    <w:rsid w:val="00086031"/>
    <w:rsid w:val="000D1E8E"/>
    <w:rsid w:val="002F37C1"/>
    <w:rsid w:val="00334B3B"/>
    <w:rsid w:val="003756F1"/>
    <w:rsid w:val="00450ED7"/>
    <w:rsid w:val="00531E3E"/>
    <w:rsid w:val="005C1737"/>
    <w:rsid w:val="005C2682"/>
    <w:rsid w:val="00646A1E"/>
    <w:rsid w:val="00653940"/>
    <w:rsid w:val="00671CC0"/>
    <w:rsid w:val="006740AB"/>
    <w:rsid w:val="00800397"/>
    <w:rsid w:val="0081205B"/>
    <w:rsid w:val="008436BC"/>
    <w:rsid w:val="0086670E"/>
    <w:rsid w:val="00987FEB"/>
    <w:rsid w:val="00A44FC7"/>
    <w:rsid w:val="00A70669"/>
    <w:rsid w:val="00B1494E"/>
    <w:rsid w:val="00B57696"/>
    <w:rsid w:val="00B63084"/>
    <w:rsid w:val="00D427F1"/>
    <w:rsid w:val="00D83618"/>
    <w:rsid w:val="00D904D6"/>
    <w:rsid w:val="00E6522B"/>
    <w:rsid w:val="00EE3509"/>
    <w:rsid w:val="00F0578B"/>
    <w:rsid w:val="00F5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A1C0"/>
  <w15:docId w15:val="{249570ED-F544-7149-86E6-D859F1F3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0">
    <w:name w:val="Стиль2"/>
    <w:basedOn w:val="a"/>
    <w:qFormat/>
    <w:rsid w:val="002F37C1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Helvetica Neue" w:hAnsi="Times New Roman" w:cs="Times New Roman"/>
      <w:color w:val="000000"/>
      <w:sz w:val="28"/>
      <w:szCs w:val="28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1899DD-3B08-F64C-BD2C-56638E5E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dcterms:created xsi:type="dcterms:W3CDTF">2025-03-10T10:16:00Z</dcterms:created>
  <dcterms:modified xsi:type="dcterms:W3CDTF">2025-03-10T10:16:00Z</dcterms:modified>
</cp:coreProperties>
</file>