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Оценка автоковариационной функции и спектральной плотности мощности большого временного ряда с пропусками</w:t>
      </w:r>
    </w:p>
    <w:p w:rsidR="00000000" w:rsidDel="00000000" w:rsidP="00000000" w:rsidRDefault="00000000" w:rsidRPr="00000000" w14:paraId="00000002">
      <w:pPr>
        <w:spacing w:line="240" w:lineRule="auto"/>
        <w:ind w:firstLine="0"/>
        <w:jc w:val="center"/>
        <w:rPr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Чайкин Р.А.</w:t>
        <w:br w:type="textWrapping"/>
      </w:r>
      <w:r w:rsidDel="00000000" w:rsidR="00000000" w:rsidRPr="00000000">
        <w:rPr>
          <w:i w:val="1"/>
          <w:sz w:val="24"/>
          <w:szCs w:val="24"/>
          <w:rtl w:val="0"/>
        </w:rPr>
        <w:t xml:space="preserve">студент</w:t>
        <w:br w:type="textWrapping"/>
        <w:t xml:space="preserve">Московский государственный университет имени М.В.Ломоносова, физический факультет, Москва, Россия</w:t>
        <w:br w:type="textWrapping"/>
        <w:t xml:space="preserve">E-mail: romanus0504@gmail.com</w:t>
      </w:r>
    </w:p>
    <w:p w:rsidR="00000000" w:rsidDel="00000000" w:rsidP="00000000" w:rsidRDefault="00000000" w:rsidRPr="00000000" w14:paraId="00000003">
      <w:pPr>
        <w:spacing w:line="240" w:lineRule="auto"/>
        <w:ind w:firstLine="42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Автоковариационная функция стационарного временного ряда (АКВФ), задаваемая как</w:t>
      </w:r>
    </w:p>
    <w:p w:rsidR="00000000" w:rsidDel="00000000" w:rsidP="00000000" w:rsidRDefault="00000000" w:rsidRPr="00000000" w14:paraId="00000004">
      <w:pPr>
        <w:spacing w:line="240" w:lineRule="auto"/>
        <w:ind w:firstLine="425"/>
        <w:jc w:val="center"/>
        <w:rPr>
          <w:sz w:val="24"/>
          <w:szCs w:val="24"/>
        </w:rPr>
      </w:pP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m:t>γ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k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</m:t>
        </m:r>
        <m:r>
          <w:rPr>
            <w:rFonts w:ascii="Cambria Math" w:cs="Cambria Math" w:eastAsia="Cambria Math" w:hAnsi="Cambria Math"/>
          </w:rPr>
          <m:t xml:space="preserve">E[(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t</m:t>
            </m:r>
          </m:sub>
        </m:sSub>
        <m:r>
          <w:rPr>
            <w:rFonts w:ascii="Cambria Math" w:cs="Cambria Math" w:eastAsia="Cambria Math" w:hAnsi="Cambria Math"/>
          </w:rPr>
          <m:t xml:space="preserve">-</m:t>
        </m:r>
        <m:r>
          <w:rPr>
            <w:rFonts w:ascii="Cambria Math" w:cs="Cambria Math" w:eastAsia="Cambria Math" w:hAnsi="Cambria Math"/>
          </w:rPr>
          <m:t>μ</m:t>
        </m:r>
        <m:r>
          <w:rPr>
            <w:rFonts w:ascii="Cambria Math" w:cs="Cambria Math" w:eastAsia="Cambria Math" w:hAnsi="Cambria Math"/>
          </w:rPr>
          <m:t xml:space="preserve">)(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t+|k|</m:t>
            </m:r>
          </m:sub>
        </m:sSub>
        <m:r>
          <w:rPr>
            <w:rFonts w:ascii="Cambria Math" w:cs="Cambria Math" w:eastAsia="Cambria Math" w:hAnsi="Cambria Math"/>
          </w:rPr>
          <m:t xml:space="preserve">-</m:t>
        </m:r>
        <m:r>
          <w:rPr>
            <w:rFonts w:ascii="Cambria Math" w:cs="Cambria Math" w:eastAsia="Cambria Math" w:hAnsi="Cambria Math"/>
          </w:rPr>
          <m:t>μ</m:t>
        </m:r>
        <m:r>
          <w:rPr>
            <w:rFonts w:ascii="Cambria Math" w:cs="Cambria Math" w:eastAsia="Cambria Math" w:hAnsi="Cambria Math"/>
          </w:rPr>
          <m:t xml:space="preserve">)],        </m:t>
        </m:r>
        <m:r>
          <w:rPr>
            <w:rFonts w:ascii="Cambria Math" w:cs="Cambria Math" w:eastAsia="Cambria Math" w:hAnsi="Cambria Math"/>
          </w:rPr>
          <m:t>μ</m:t>
        </m:r>
        <m:r>
          <w:rPr>
            <w:rFonts w:ascii="Cambria Math" w:cs="Cambria Math" w:eastAsia="Cambria Math" w:hAnsi="Cambria Math"/>
          </w:rPr>
          <m:t xml:space="preserve">=E[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t</m:t>
            </m:r>
          </m:sub>
        </m:sSub>
        <m:r>
          <w:rPr>
            <w:rFonts w:ascii="Cambria Math" w:cs="Cambria Math" w:eastAsia="Cambria Math" w:hAnsi="Cambria Math"/>
          </w:rPr>
          <m:t xml:space="preserve">]</m:t>
        </m:r>
      </m:oMath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обладает рядом свойств, которые делают её оценку практически полезной при исследовании свойств ряда. Для вычисления оценки АКВФ в случае сплошного ряда существуют различные методы: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оценка напрямую через оценку матожидания в приведённой формуле, 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аналогичная оценка с поправкой Бесселя, которая делает её несмещённой,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через её связь со спектральной плотностью мощности.</w:t>
      </w:r>
    </w:p>
    <w:p w:rsidR="00000000" w:rsidDel="00000000" w:rsidP="00000000" w:rsidRDefault="00000000" w:rsidRPr="00000000" w14:paraId="00000009">
      <w:pPr>
        <w:spacing w:line="240" w:lineRule="auto"/>
        <w:ind w:firstLine="42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практике последний метод предпочтителен, особенно в продолжительных рядах, поскольку быстрое преобразование Фурье (БПФ) обладает сложность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O(NlogN)</m:t>
        </m:r>
      </m:oMath>
      <w:r w:rsidDel="00000000" w:rsidR="00000000" w:rsidRPr="00000000">
        <w:rPr>
          <w:sz w:val="24"/>
          <w:szCs w:val="24"/>
          <w:rtl w:val="0"/>
        </w:rPr>
        <w:t xml:space="preserve">, позволяющей сократить время расчётов на несколько порядков. Однако ряды с пробелами вынуждают отказаться от этого метода, поскольку существующие алгоритмы БПФ опираются на непрерывность ряда. Настоящая статья посвящена сравнению разных методов оценки АКВФ и спектральной плотности мощности. </w:t>
      </w:r>
    </w:p>
    <w:p w:rsidR="00000000" w:rsidDel="00000000" w:rsidP="00000000" w:rsidRDefault="00000000" w:rsidRPr="00000000" w14:paraId="0000000A">
      <w:pPr>
        <w:spacing w:line="240" w:lineRule="auto"/>
        <w:ind w:firstLine="42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практике используются следующие методы оценки АКВФ в случае временных рядов с пропусками: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предварительное заполнение пропусков некоторыми значениями и оценка любым из вышеперечисленных методов[1],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оценка АКВФ на небольших непрерывных промежутках и дальнейшее усреднение (методы Бартлетта и Уэлча)[3][4],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оценка АКВФ на всём ряде напрямую с поправкой Бесселя или без неё, где невалидные значения не учитываются.</w:t>
      </w:r>
    </w:p>
    <w:p w:rsidR="00000000" w:rsidDel="00000000" w:rsidP="00000000" w:rsidRDefault="00000000" w:rsidRPr="00000000" w14:paraId="0000000E">
      <w:pPr>
        <w:spacing w:line="240" w:lineRule="auto"/>
        <w:ind w:firstLine="42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Последний метод хотя и требует больших вычислительных ресурсов лишён недостатков второго метода — использования не всех значений ряда или неравноценности разных точек. Помимо этого, он может быть реализован в реальном времени, поскольку не требует предварительного разбиения ряда на сегменты и более применим в рядах с частыми пропусками,  где существенная часть АКВФ может быть больше, чем длина непрерывных участков ряда. Именно реализации этого метода посвящена настоящая работа.</w:t>
      </w:r>
    </w:p>
    <w:p w:rsidR="00000000" w:rsidDel="00000000" w:rsidP="00000000" w:rsidRDefault="00000000" w:rsidRPr="00000000" w14:paraId="0000000F">
      <w:pPr>
        <w:spacing w:line="240" w:lineRule="auto"/>
        <w:ind w:firstLine="42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Предлагаемый алгоритм является развитием метода, предложенного в [2] и включает в себя три шага.</w:t>
      </w:r>
    </w:p>
    <w:p w:rsidR="00000000" w:rsidDel="00000000" w:rsidP="00000000" w:rsidRDefault="00000000" w:rsidRPr="00000000" w14:paraId="00000010">
      <w:pPr>
        <w:jc w:val="center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первом вычисляется значение АКВФ напрямую по следующей формуле:</w:t>
        <w:br w:type="textWrapping"/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k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N-k</m:t>
            </m:r>
          </m:num>
          <m:den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N</m:t>
            </m:r>
          </m:den>
        </m:f>
        <m:f>
          <m:f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fPr>
          <m:num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i=1</m:t>
                </m:r>
              </m:sub>
              <m:sup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N-k</m:t>
                </m:r>
              </m:sup>
            </m:nary>
            <m:sSub>
              <m:sSubPr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(x</m:t>
                </m:r>
              </m:e>
              <m:sub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i</m:t>
                </m:r>
              </m:sub>
            </m:s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-</m:t>
            </m:r>
            <m:sSub>
              <m:sSubPr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μ)(x</m:t>
                </m:r>
              </m:e>
              <m:sub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i+k</m:t>
                </m:r>
              </m:sub>
            </m:s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-μ)</m:t>
            </m:r>
            <m:sSub>
              <m:sSubPr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w</m:t>
                </m:r>
              </m:e>
              <m:sub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i</m:t>
                </m:r>
              </m:sub>
            </m:sSub>
            <m:sSub>
              <m:sSubPr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w</m:t>
                </m:r>
              </m:e>
              <m:sub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i+k</m:t>
                </m:r>
              </m:sub>
            </m:sSub>
          </m:num>
          <m:den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i=1</m:t>
                </m:r>
              </m:sub>
              <m:sup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N-k</m:t>
                </m:r>
              </m:sup>
            </m:nary>
            <m:sSub>
              <m:sSubPr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w</m:t>
                </m:r>
              </m:e>
              <m:sub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i</m:t>
                </m:r>
              </m:sub>
            </m:sSub>
            <m:sSub>
              <m:sSubPr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w</m:t>
                </m:r>
              </m:e>
              <m:sub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i+k</m:t>
                </m:r>
              </m:sub>
            </m:sSub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где 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w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i</m:t>
            </m:r>
          </m:sub>
        </m:sSub>
      </m:oMath>
      <w:r w:rsidDel="00000000" w:rsidR="00000000" w:rsidRPr="00000000">
        <w:rPr>
          <w:sz w:val="24"/>
          <w:szCs w:val="24"/>
          <w:rtl w:val="0"/>
        </w:rPr>
        <w:t xml:space="preserve"> — вес соответствующего элемента, принимающий значения 0 и 1 в зависимости от его валидности. Оцениваются при этом только первые 100‒200 значений, потому что они известны с наибольшей точностью и несут больше всего информации.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втором шаге рассматривается дискретное преобразование Фурье от полученной оценки. Оно очищается от отрицательных значений, которых не может быть в спектре истинной АКВФ по определению, и, при необходимости, от высокочастотных, шумовых компонент.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pacing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Завершается процесс взятием обратного преобразования Фурье, возвращающего улучшенную оценку АКВФ.</w:t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следующем графике представлены АКВФ ряда с пробелами, её оценка и её оценка, скорректированная по представленному выше методу. Справа изображён график спектральной плотности мощности АКВФ ряда с пропусками и без них.</w:t>
      </w:r>
    </w:p>
    <w:p w:rsidR="00000000" w:rsidDel="00000000" w:rsidP="00000000" w:rsidRDefault="00000000" w:rsidRPr="00000000" w14:paraId="00000015">
      <w:pPr>
        <w:spacing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08563" cy="2389826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8563" cy="23898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ind w:firstLine="425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Рис. 1. Слева истинная АКВФ временного ряда, оценка для ряда без пропусков, её оценка по ряду с пропусками и последняя, очищенная от отрицательных и высокочастотных значений спектра.</w:t>
        <w:br w:type="textWrapping"/>
        <w:t xml:space="preserve">Справа спектральная плотность мощности АКВФ ряда с пропусками и этого же ряда без пропусков.</w:t>
      </w:r>
    </w:p>
    <w:p w:rsidR="00000000" w:rsidDel="00000000" w:rsidP="00000000" w:rsidRDefault="00000000" w:rsidRPr="00000000" w14:paraId="00000017">
      <w:pPr>
        <w:spacing w:line="240" w:lineRule="auto"/>
        <w:ind w:firstLine="425"/>
        <w:rPr>
          <w:i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Отметим, что наличие пропусков накладывает высокочастотный шум на оценку АКВФ, однако описанная операция коррекции делает оценку значительно более гладкой, не изменяя при этом её общего характера.</w:t>
      </w: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line="240" w:lineRule="auto"/>
        <w:ind w:firstLine="425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Литература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А.Е. Дещеревский, В.И. Журавлёв, А.Н. Никольский, А.Я. Сидорин. Проблемы анализа временных рядов и их решение в программе WinABD // Геофизические процессы и биосфера, 2016, T. 15, № 3, с. 5–34.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Семёнова С. Э., Голубцов П. В., Шапкина Н. Е. Анализ больших временных рядов с пропусками в реальном времени // Интеллектуализация обработки информации, 2024 г, Гродненский государственный университет, с. 42-43.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M.S. Bartlett. Smoothing periodograms from time-series with continuous spectra // Nature 161, 686–687.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Nils Damaschke, Volker Kühn  and Holger Nobach. Bias‑free estimation of the covariance function and the power spectral density from data with missing samples including extended data gaps // EURASIP Journal on Advances in Signal Processing.</w:t>
      </w:r>
    </w:p>
    <w:sectPr>
      <w:pgSz w:h="16834" w:w="11909" w:orient="portrait"/>
      <w:pgMar w:bottom="1258" w:top="1133" w:left="1360" w:right="1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Lora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ambria Math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ru"/>
      </w:rPr>
    </w:rPrDefault>
    <w:pPrDefault>
      <w:pPr>
        <w:spacing w:after="160" w:line="259" w:lineRule="auto"/>
        <w:ind w:firstLine="72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ind w:firstLine="0"/>
    </w:pPr>
    <w:rPr>
      <w:rFonts w:ascii="Lora Medium" w:cs="Lora Medium" w:eastAsia="Lora Medium" w:hAnsi="Lora Medium"/>
      <w:sz w:val="72"/>
      <w:szCs w:val="7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ind w:firstLine="0"/>
    </w:pPr>
    <w:rPr>
      <w:sz w:val="48"/>
      <w:szCs w:val="48"/>
    </w:rPr>
  </w:style>
  <w:style w:type="paragraph" w:styleId="Heading3">
    <w:name w:val="heading 3"/>
    <w:basedOn w:val="Normal"/>
    <w:next w:val="Normal"/>
    <w:pPr>
      <w:keepNext w:val="1"/>
      <w:keepLines w:val="1"/>
      <w:ind w:firstLine="0"/>
    </w:pPr>
    <w:rPr>
      <w:b w:val="1"/>
      <w:sz w:val="36"/>
      <w:szCs w:val="36"/>
    </w:rPr>
  </w:style>
  <w:style w:type="paragraph" w:styleId="Heading4">
    <w:name w:val="heading 4"/>
    <w:basedOn w:val="Normal"/>
    <w:next w:val="Normal"/>
    <w:pPr>
      <w:keepNext w:val="1"/>
      <w:keepLines w:val="1"/>
      <w:ind w:firstLine="0"/>
    </w:pPr>
    <w:rPr>
      <w:b w:val="1"/>
      <w:i w:val="1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ind w:firstLine="0"/>
      <w:outlineLvl w:val="0"/>
    </w:pPr>
    <w:rPr>
      <w:rFonts w:ascii="Lora Medium" w:cs="Lora Medium" w:eastAsia="Lora Medium" w:hAnsi="Lora Medium"/>
      <w:sz w:val="72"/>
      <w:szCs w:val="72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ind w:firstLine="0"/>
      <w:outlineLvl w:val="1"/>
    </w:pPr>
    <w:rPr>
      <w:sz w:val="48"/>
      <w:szCs w:val="48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ind w:firstLine="0"/>
      <w:outlineLvl w:val="2"/>
    </w:pPr>
    <w:rPr>
      <w:b w:val="1"/>
      <w:sz w:val="36"/>
      <w:szCs w:val="36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ind w:firstLine="0"/>
      <w:outlineLvl w:val="3"/>
    </w:pPr>
    <w:rPr>
      <w:b w:val="1"/>
      <w:i w:val="1"/>
      <w:sz w:val="32"/>
      <w:szCs w:val="32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</w:pPr>
    <w:rPr>
      <w:rFonts w:ascii="Lora" w:cs="Lora" w:eastAsia="Lora" w:hAnsi="Lora"/>
      <w:i w:val="1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Lora" w:cs="Lora" w:eastAsia="Lora" w:hAnsi="Lora"/>
      <w:i w:val="1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Medium-regular.ttf"/><Relationship Id="rId2" Type="http://schemas.openxmlformats.org/officeDocument/2006/relationships/font" Target="fonts/LoraMedium-bold.ttf"/><Relationship Id="rId3" Type="http://schemas.openxmlformats.org/officeDocument/2006/relationships/font" Target="fonts/LoraMedium-italic.ttf"/><Relationship Id="rId4" Type="http://schemas.openxmlformats.org/officeDocument/2006/relationships/font" Target="fonts/LoraMedium-boldItalic.ttf"/><Relationship Id="rId9" Type="http://schemas.openxmlformats.org/officeDocument/2006/relationships/font" Target="fonts/CambriaMath-regular.ttf"/><Relationship Id="rId5" Type="http://schemas.openxmlformats.org/officeDocument/2006/relationships/font" Target="fonts/Lora-regular.ttf"/><Relationship Id="rId6" Type="http://schemas.openxmlformats.org/officeDocument/2006/relationships/font" Target="fonts/Lora-bold.ttf"/><Relationship Id="rId7" Type="http://schemas.openxmlformats.org/officeDocument/2006/relationships/font" Target="fonts/Lora-italic.ttf"/><Relationship Id="rId8" Type="http://schemas.openxmlformats.org/officeDocument/2006/relationships/font" Target="fonts/Lo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0RkDqpzdPIWg2PXC1Gs659kJ3w==">CgMxLjA4AHIhMUY2aHB2T1M1cDNUQWUtdUNhRGpIeXExSDgwTl8tX3dq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2025-03-09T12:33:00Z</dcterms:created>
  <dc:creator>PVG</dc:creator>
</cp:coreProperties>
</file>