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B51" w14:textId="4B83FF4B" w:rsidR="00245411" w:rsidRPr="001160DD" w:rsidRDefault="00E67D89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Описание горения водород-воздушных смесей в рамках двухстадийного цепного механизма реакций</w:t>
      </w:r>
    </w:p>
    <w:p w14:paraId="2974655E" w14:textId="6740FA6B" w:rsidR="00F82208" w:rsidRDefault="00975D83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Хвосточенко</w:t>
      </w:r>
      <w:r w:rsidR="009C075E" w:rsidRPr="00767A7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К</w:t>
      </w:r>
      <w:r w:rsidR="009C075E" w:rsidRPr="00767A7E">
        <w:rPr>
          <w:rFonts w:ascii="Times New Roman" w:hAnsi="Times New Roman" w:cs="Times New Roman"/>
          <w:b/>
          <w:i/>
        </w:rPr>
        <w:t>.</w:t>
      </w:r>
      <w:r w:rsidR="00767A7E" w:rsidRPr="00767A7E">
        <w:rPr>
          <w:rFonts w:ascii="Times New Roman" w:hAnsi="Times New Roman" w:cs="Times New Roman"/>
          <w:b/>
          <w:i/>
        </w:rPr>
        <w:t>Д.</w:t>
      </w:r>
    </w:p>
    <w:p w14:paraId="7F5FF8CB" w14:textId="0FF0FD7A" w:rsidR="00767A7E" w:rsidRPr="00767A7E" w:rsidRDefault="00767A7E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</w:rPr>
      </w:pPr>
      <w:r w:rsidRPr="00767A7E">
        <w:rPr>
          <w:rFonts w:ascii="Times New Roman" w:hAnsi="Times New Roman" w:cs="Times New Roman"/>
          <w:i/>
        </w:rPr>
        <w:t>Студент</w:t>
      </w:r>
    </w:p>
    <w:p w14:paraId="7E9C6CA3" w14:textId="77777777" w:rsidR="00A61C8B" w:rsidRDefault="00F82208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</w:rPr>
      </w:pPr>
      <w:r w:rsidRPr="00E70545">
        <w:rPr>
          <w:rFonts w:ascii="Times New Roman" w:hAnsi="Times New Roman" w:cs="Times New Roman"/>
          <w:i/>
        </w:rPr>
        <w:t>Московский Физико-Технический Институт</w:t>
      </w:r>
      <w:r w:rsidR="009561EA" w:rsidRPr="00E70545">
        <w:rPr>
          <w:rFonts w:ascii="Times New Roman" w:hAnsi="Times New Roman" w:cs="Times New Roman"/>
          <w:i/>
        </w:rPr>
        <w:t>,</w:t>
      </w:r>
      <w:r w:rsidR="00767A7E">
        <w:rPr>
          <w:rFonts w:ascii="Times New Roman" w:hAnsi="Times New Roman" w:cs="Times New Roman"/>
          <w:i/>
        </w:rPr>
        <w:t xml:space="preserve"> ЛФИ,</w:t>
      </w:r>
      <w:r w:rsidR="009561EA" w:rsidRPr="00E70545">
        <w:rPr>
          <w:rFonts w:ascii="Times New Roman" w:hAnsi="Times New Roman" w:cs="Times New Roman"/>
          <w:i/>
        </w:rPr>
        <w:t xml:space="preserve"> Долгопрудный,</w:t>
      </w:r>
      <w:r w:rsidR="00767A7E">
        <w:rPr>
          <w:rFonts w:ascii="Times New Roman" w:hAnsi="Times New Roman" w:cs="Times New Roman"/>
          <w:i/>
        </w:rPr>
        <w:t xml:space="preserve"> Россия</w:t>
      </w:r>
    </w:p>
    <w:p w14:paraId="71619333" w14:textId="0B29B82E" w:rsidR="00F82208" w:rsidRPr="00A61C8B" w:rsidRDefault="00A61C8B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E-mail: </w:t>
      </w:r>
      <w:r w:rsidR="00975D83">
        <w:rPr>
          <w:rFonts w:ascii="Times New Roman" w:hAnsi="Times New Roman" w:cs="Times New Roman"/>
          <w:i/>
          <w:lang w:val="en-US"/>
        </w:rPr>
        <w:t>khvostochenko.kd@phystech.edu</w:t>
      </w:r>
    </w:p>
    <w:p w14:paraId="0F12FC61" w14:textId="77777777" w:rsidR="00F711E7" w:rsidRPr="00A61C8B" w:rsidRDefault="00F711E7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  <w:lang w:val="en-US"/>
        </w:rPr>
      </w:pPr>
    </w:p>
    <w:p w14:paraId="3A7DA0C9" w14:textId="2076FCD9" w:rsidR="00B9475E" w:rsidRPr="00E70545" w:rsidRDefault="00D464FE" w:rsidP="00767A7E">
      <w:pPr>
        <w:spacing w:after="208" w:line="240" w:lineRule="auto"/>
        <w:ind w:left="11" w:right="62"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</w:t>
      </w:r>
      <w:r w:rsidR="00F82208" w:rsidRPr="00E70545">
        <w:rPr>
          <w:rFonts w:ascii="Times New Roman" w:hAnsi="Times New Roman" w:cs="Times New Roman"/>
        </w:rPr>
        <w:t>бота численно</w:t>
      </w:r>
      <w:r>
        <w:rPr>
          <w:rFonts w:ascii="Times New Roman" w:hAnsi="Times New Roman" w:cs="Times New Roman"/>
        </w:rPr>
        <w:t xml:space="preserve"> и аналитически</w:t>
      </w:r>
      <w:r w:rsidR="00F82208" w:rsidRPr="00E70545">
        <w:rPr>
          <w:rFonts w:ascii="Times New Roman" w:hAnsi="Times New Roman" w:cs="Times New Roman"/>
        </w:rPr>
        <w:t xml:space="preserve"> исслед</w:t>
      </w:r>
      <w:r>
        <w:rPr>
          <w:rFonts w:ascii="Times New Roman" w:hAnsi="Times New Roman" w:cs="Times New Roman"/>
        </w:rPr>
        <w:t xml:space="preserve">уется одномерное адиабатическое горение богатых смесей. Процесс горения описывается с использованием двухстадийного цепного механизма реакций. </w:t>
      </w:r>
      <w:r w:rsidR="00F82208" w:rsidRPr="00E70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Предлагаемые модели используются для описания экспериментальных данных по скорости горения водород-воздушных смесей. </w:t>
      </w:r>
      <w:r w:rsidR="00D3001B">
        <w:rPr>
          <w:rFonts w:ascii="Times New Roman" w:hAnsi="Times New Roman" w:cs="Times New Roman"/>
        </w:rPr>
        <w:t xml:space="preserve">Кроме того, численно анализируется пульсирующий режим горения, когда профиль становится нестационарным и периодически меняется </w:t>
      </w:r>
      <w:r w:rsidR="00245740">
        <w:rPr>
          <w:rFonts w:ascii="Times New Roman" w:hAnsi="Times New Roman" w:cs="Times New Roman"/>
        </w:rPr>
        <w:t>во</w:t>
      </w:r>
      <w:r w:rsidR="00D3001B">
        <w:rPr>
          <w:rFonts w:ascii="Times New Roman" w:hAnsi="Times New Roman" w:cs="Times New Roman"/>
        </w:rPr>
        <w:t xml:space="preserve"> времен</w:t>
      </w:r>
      <w:r w:rsidR="00245740">
        <w:rPr>
          <w:rFonts w:ascii="Times New Roman" w:hAnsi="Times New Roman" w:cs="Times New Roman"/>
        </w:rPr>
        <w:t>и</w:t>
      </w:r>
      <w:r w:rsidR="00D3001B">
        <w:rPr>
          <w:rFonts w:ascii="Times New Roman" w:hAnsi="Times New Roman" w:cs="Times New Roman"/>
        </w:rPr>
        <w:t>.</w:t>
      </w:r>
    </w:p>
    <w:p w14:paraId="008E22FA" w14:textId="719E2E3E" w:rsidR="001C6D9A" w:rsidRPr="00E70545" w:rsidRDefault="00483C1B" w:rsidP="00767A7E">
      <w:pPr>
        <w:spacing w:after="208" w:line="240" w:lineRule="auto"/>
        <w:ind w:left="11" w:right="62"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Рассматривая модель предполагает образование промежуточного вещества в процессе реакций, которое называют радикалом. Образующиеся радикалы вступают в два вида реакций: реакция разветвления цепи</w:t>
      </w:r>
      <w:r w:rsidR="00957B76">
        <w:rPr>
          <w:rFonts w:ascii="Times New Roman" w:hAnsi="Times New Roman" w:cs="Times New Roman"/>
        </w:rPr>
        <w:t>, когда радикал, взаимодействуя с окислителем, рождает еще больше радикалов</w:t>
      </w:r>
      <w:r>
        <w:rPr>
          <w:rFonts w:ascii="Times New Roman" w:hAnsi="Times New Roman" w:cs="Times New Roman"/>
        </w:rPr>
        <w:t xml:space="preserve"> и рекомбинации</w:t>
      </w:r>
      <w:r w:rsidR="00957B76">
        <w:rPr>
          <w:rFonts w:ascii="Times New Roman" w:hAnsi="Times New Roman" w:cs="Times New Roman"/>
        </w:rPr>
        <w:t>, когда радикал уничтожается</w:t>
      </w:r>
      <w:r>
        <w:rPr>
          <w:rFonts w:ascii="Times New Roman" w:hAnsi="Times New Roman" w:cs="Times New Roman"/>
        </w:rPr>
        <w:t>.</w:t>
      </w:r>
      <w:r w:rsidR="008D12CA">
        <w:rPr>
          <w:rFonts w:ascii="Times New Roman" w:hAnsi="Times New Roman" w:cs="Times New Roman"/>
        </w:rPr>
        <w:t xml:space="preserve"> Считается, что динамика системы описывается только процессами диффузии и переноса. Кроме того, поскольку рассматриваются только богатые смеси, то изменением концентрации топлива в процессе реакции будем пренебрегать.  </w:t>
      </w:r>
      <w:r w:rsidR="00161E3D">
        <w:rPr>
          <w:rFonts w:ascii="Times New Roman" w:hAnsi="Times New Roman" w:cs="Times New Roman"/>
        </w:rPr>
        <w:t>Уравнения модели в безразмерном виде запишутся следующим образом:</w:t>
      </w:r>
    </w:p>
    <w:p w14:paraId="2AFD30BD" w14:textId="77777777" w:rsidR="00683CF3" w:rsidRPr="004838ED" w:rsidRDefault="00000000" w:rsidP="00683CF3"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∂θ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lang w:val="en-US"/>
            </w:rPr>
            <m:t>c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∂θ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</w:rPr>
            <m:t>+(1-σ)(qrX+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(1-q))</m:t>
          </m:r>
        </m:oMath>
      </m:oMathPara>
    </w:p>
    <w:p w14:paraId="4E43995A" w14:textId="77777777" w:rsidR="00683CF3" w:rsidRPr="004838ED" w:rsidRDefault="00000000" w:rsidP="00683CF3"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 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+c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∂Y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125EF19B" w14:textId="77777777" w:rsidR="00683CF3" w:rsidRPr="004838ED" w:rsidRDefault="00000000" w:rsidP="00683CF3"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 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lang w:val="en-US"/>
            </w:rPr>
            <m:t>c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∂X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-rX,</m:t>
          </m:r>
        </m:oMath>
      </m:oMathPara>
    </w:p>
    <w:p w14:paraId="2716743C" w14:textId="31ECF2E4" w:rsidR="00AC7172" w:rsidRPr="003646F4" w:rsidRDefault="00000000" w:rsidP="003646F4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β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XY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β(1-1/θ)</m:t>
              </m:r>
            </m:sup>
          </m:sSup>
          <m:r>
            <w:rPr>
              <w:rFonts w:ascii="Cambria Math" w:hAnsi="Cambria Math"/>
            </w:rPr>
            <m:t>.</m:t>
          </m:r>
        </m:oMath>
      </m:oMathPara>
    </w:p>
    <w:p w14:paraId="247B93D2" w14:textId="629AD271" w:rsidR="003646F4" w:rsidRPr="003646F4" w:rsidRDefault="003646F4" w:rsidP="003646F4">
      <w:pPr>
        <w:ind w:left="0" w:firstLine="0"/>
        <w:rPr>
          <w:rFonts w:eastAsiaTheme="minorEastAsia"/>
          <w:iCs/>
        </w:rPr>
      </w:pPr>
    </w:p>
    <w:p w14:paraId="7555BC98" w14:textId="05860E1E" w:rsidR="00D17ADF" w:rsidRDefault="003646F4" w:rsidP="00767A7E">
      <w:pPr>
        <w:spacing w:after="208" w:line="240" w:lineRule="auto"/>
        <w:ind w:left="11" w:right="62" w:firstLine="397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Переменными здесь являются: </w:t>
      </w:r>
      <m:oMath>
        <m:r>
          <w:rPr>
            <w:rFonts w:ascii="Cambria Math" w:hAnsi="Cambria Math" w:cs="Times New Roman"/>
          </w:rPr>
          <m:t>θ</m:t>
        </m:r>
      </m:oMath>
      <w:r>
        <w:rPr>
          <w:rFonts w:ascii="Times New Roman" w:eastAsiaTheme="minorEastAsia" w:hAnsi="Times New Roman" w:cs="Times New Roman"/>
        </w:rPr>
        <w:t xml:space="preserve"> – температура смеси, </w:t>
      </w:r>
      <m:oMath>
        <m:r>
          <w:rPr>
            <w:rFonts w:ascii="Cambria Math" w:eastAsiaTheme="minorEastAsia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– концентрация окислителя,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–</w:t>
      </w:r>
      <w:r w:rsidRPr="003646F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концентрация радикалов, </w:t>
      </w:r>
      <m:oMath>
        <m:r>
          <w:rPr>
            <w:rFonts w:ascii="Cambria Math" w:hAnsi="Cambria Math"/>
          </w:rPr>
          <m:t>t</m:t>
        </m:r>
      </m:oMath>
      <w:r>
        <w:rPr>
          <w:rFonts w:ascii="Times New Roman" w:eastAsiaTheme="minorEastAsia" w:hAnsi="Times New Roman" w:cs="Times New Roman"/>
        </w:rPr>
        <w:t xml:space="preserve"> – время и </w:t>
      </w:r>
      <m:oMath>
        <m:r>
          <w:rPr>
            <w:rFonts w:ascii="Cambria Math" w:hAnsi="Cambria Math"/>
            <w:lang w:val="en-US"/>
          </w:rPr>
          <m:t>x</m:t>
        </m:r>
      </m:oMath>
      <w:r w:rsidRPr="003646F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–</w:t>
      </w:r>
      <w:r w:rsidRPr="003646F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координата. Остальные величины считаются постоянными в процессе реакции.</w:t>
      </w:r>
    </w:p>
    <w:p w14:paraId="0BC98EB9" w14:textId="3EA3739B" w:rsidR="00B637A4" w:rsidRDefault="008A37E7" w:rsidP="00B637A4">
      <w:pPr>
        <w:spacing w:after="208" w:line="240" w:lineRule="auto"/>
        <w:ind w:left="11" w:right="62" w:firstLine="397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</w:rPr>
        <w:t xml:space="preserve">В пределе бесконечно большого </w:t>
      </w:r>
      <m:oMath>
        <m:r>
          <w:rPr>
            <w:rFonts w:ascii="Cambria Math" w:eastAsiaTheme="minorEastAsia" w:hAnsi="Cambria Math" w:cs="Times New Roman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 можно считать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8A37E7">
        <w:rPr>
          <w:rFonts w:ascii="Times New Roman" w:eastAsiaTheme="minorEastAsia" w:hAnsi="Times New Roman" w:cs="Times New Roman"/>
          <w:iCs/>
        </w:rPr>
        <w:t xml:space="preserve"> </w:t>
      </w:r>
      <w:r>
        <w:rPr>
          <w:rFonts w:ascii="Times New Roman" w:eastAsiaTheme="minorEastAsia" w:hAnsi="Times New Roman" w:cs="Times New Roman"/>
          <w:iCs/>
        </w:rPr>
        <w:t>пропорциональным дельта-функции</w:t>
      </w:r>
      <w:r w:rsidR="00DA02CC" w:rsidRPr="00DA02CC">
        <w:rPr>
          <w:rFonts w:ascii="Times New Roman" w:eastAsiaTheme="minorEastAsia" w:hAnsi="Times New Roman" w:cs="Times New Roman"/>
          <w:iCs/>
        </w:rPr>
        <w:t xml:space="preserve"> [1]</w:t>
      </w:r>
      <w:r>
        <w:rPr>
          <w:rFonts w:ascii="Times New Roman" w:eastAsiaTheme="minorEastAsia" w:hAnsi="Times New Roman" w:cs="Times New Roman"/>
          <w:iCs/>
        </w:rPr>
        <w:t xml:space="preserve">. Тогда данная система может быть разрешена аналитически, что делается в данной работе. </w:t>
      </w:r>
      <w:r w:rsidR="00C2237B">
        <w:rPr>
          <w:rFonts w:ascii="Times New Roman" w:eastAsiaTheme="minorEastAsia" w:hAnsi="Times New Roman" w:cs="Times New Roman"/>
          <w:iCs/>
        </w:rPr>
        <w:t xml:space="preserve">Обе модели применяются для описания экспериментальных данных по скорости горения водород-воздушных смесей. Результаты представлены на рис. 1. </w:t>
      </w:r>
      <w:r w:rsidR="00F120EA">
        <w:rPr>
          <w:rFonts w:ascii="Times New Roman" w:eastAsiaTheme="minorEastAsia" w:hAnsi="Times New Roman" w:cs="Times New Roman"/>
          <w:iCs/>
        </w:rPr>
        <w:t>Кроме того, при увеличении количества топлива фронт перестает быть стационарным и появляются осцилляции фронта пламени, как показано на рис. 2. В момент их появления происходит бифуркация Хопфа. В этой работе находится момент возникновения бифуркации. Полученные результаты согласуются с известными в литературе</w:t>
      </w:r>
      <w:r w:rsidR="009B4092" w:rsidRPr="00292491">
        <w:rPr>
          <w:rFonts w:ascii="Times New Roman" w:eastAsiaTheme="minorEastAsia" w:hAnsi="Times New Roman" w:cs="Times New Roman"/>
          <w:iCs/>
        </w:rPr>
        <w:t xml:space="preserve"> [2]</w:t>
      </w:r>
      <w:r w:rsidR="00F120EA">
        <w:rPr>
          <w:rFonts w:ascii="Times New Roman" w:eastAsiaTheme="minorEastAsia" w:hAnsi="Times New Roman" w:cs="Times New Roman"/>
          <w:iCs/>
        </w:rPr>
        <w:t>.</w:t>
      </w:r>
      <w:r w:rsidR="004322C6" w:rsidRPr="00292491">
        <w:rPr>
          <w:rFonts w:ascii="Times New Roman" w:eastAsiaTheme="minorEastAsia" w:hAnsi="Times New Roman" w:cs="Times New Roman"/>
          <w:iCs/>
        </w:rPr>
        <w:t xml:space="preserve"> </w:t>
      </w:r>
    </w:p>
    <w:p w14:paraId="78457F47" w14:textId="52EE477E" w:rsidR="004322C6" w:rsidRPr="004322C6" w:rsidRDefault="004322C6" w:rsidP="00B637A4">
      <w:pPr>
        <w:spacing w:after="208" w:line="240" w:lineRule="auto"/>
        <w:ind w:left="11" w:right="62" w:firstLine="397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 xml:space="preserve">Таким образом, в данной работе показано, что двухстадийная модель способна хорошо описывать скорости распространения фронта пламени в богатых водород-воздушных смесях, а также предсказывать возникновения диффузионно-тепловых неустойчивостей, проявляющихся в виде </w:t>
      </w:r>
      <w:r w:rsidR="00FF6D15">
        <w:rPr>
          <w:rFonts w:ascii="Times New Roman" w:eastAsiaTheme="minorEastAsia" w:hAnsi="Times New Roman" w:cs="Times New Roman"/>
          <w:iCs/>
        </w:rPr>
        <w:t>пульсаций пламени</w:t>
      </w:r>
      <w:r>
        <w:rPr>
          <w:rFonts w:ascii="Times New Roman" w:eastAsiaTheme="minorEastAsia" w:hAnsi="Times New Roman" w:cs="Times New Roman"/>
          <w:iCs/>
        </w:rPr>
        <w:t>.</w:t>
      </w:r>
    </w:p>
    <w:p w14:paraId="57EA424A" w14:textId="0F6DBDC5" w:rsidR="0089556D" w:rsidRDefault="00991E41" w:rsidP="008F53E5">
      <w:pPr>
        <w:spacing w:after="208" w:line="240" w:lineRule="auto"/>
        <w:ind w:left="11" w:right="62" w:firstLine="454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293EE8B" wp14:editId="188C14A1">
            <wp:extent cx="3794760" cy="2846070"/>
            <wp:effectExtent l="0" t="0" r="0" b="0"/>
            <wp:docPr id="1409690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4A395" w14:textId="0C0BF092" w:rsidR="00D17ADF" w:rsidRDefault="00D17ADF" w:rsidP="008F53E5">
      <w:pPr>
        <w:spacing w:after="208" w:line="240" w:lineRule="auto"/>
        <w:ind w:right="63"/>
        <w:jc w:val="center"/>
        <w:rPr>
          <w:rFonts w:ascii="Times New Roman" w:hAnsi="Times New Roman" w:cs="Times New Roman"/>
        </w:rPr>
      </w:pPr>
      <w:r w:rsidRPr="00A61C8B">
        <w:rPr>
          <w:rFonts w:ascii="Times New Roman" w:hAnsi="Times New Roman" w:cs="Times New Roman"/>
          <w:b/>
          <w:i/>
        </w:rPr>
        <w:t>Рис. 1.</w:t>
      </w:r>
      <w:r w:rsidR="00A42649">
        <w:rPr>
          <w:rFonts w:ascii="Times New Roman" w:hAnsi="Times New Roman" w:cs="Times New Roman"/>
        </w:rPr>
        <w:t xml:space="preserve"> </w:t>
      </w:r>
      <w:r w:rsidR="0077700C" w:rsidRPr="0077700C">
        <w:rPr>
          <w:rFonts w:ascii="Times New Roman" w:hAnsi="Times New Roman" w:cs="Times New Roman"/>
        </w:rPr>
        <w:t>Зависимость скорости фронта пламени от коэффициента избытк</w:t>
      </w:r>
      <w:r w:rsidR="008A37E7">
        <w:rPr>
          <w:rFonts w:ascii="Times New Roman" w:hAnsi="Times New Roman" w:cs="Times New Roman"/>
        </w:rPr>
        <w:t>а. М</w:t>
      </w:r>
      <w:r w:rsidR="0077700C" w:rsidRPr="0077700C">
        <w:rPr>
          <w:rFonts w:ascii="Times New Roman" w:hAnsi="Times New Roman" w:cs="Times New Roman"/>
        </w:rPr>
        <w:t>аркерами изображены экспериментальные данные [</w:t>
      </w:r>
      <w:r w:rsidR="00292491">
        <w:rPr>
          <w:rFonts w:ascii="Times New Roman" w:hAnsi="Times New Roman" w:cs="Times New Roman"/>
        </w:rPr>
        <w:t>3</w:t>
      </w:r>
      <w:r w:rsidR="0077700C" w:rsidRPr="0077700C">
        <w:rPr>
          <w:rFonts w:ascii="Times New Roman" w:hAnsi="Times New Roman" w:cs="Times New Roman"/>
        </w:rPr>
        <w:t>].</w:t>
      </w:r>
    </w:p>
    <w:p w14:paraId="29F8E851" w14:textId="77777777" w:rsidR="00F120EA" w:rsidRDefault="00F120EA" w:rsidP="008F53E5">
      <w:pPr>
        <w:spacing w:after="208" w:line="240" w:lineRule="auto"/>
        <w:ind w:right="63"/>
        <w:jc w:val="center"/>
        <w:rPr>
          <w:rFonts w:ascii="Times New Roman" w:hAnsi="Times New Roman" w:cs="Times New Roman"/>
        </w:rPr>
      </w:pPr>
    </w:p>
    <w:p w14:paraId="78C82F5D" w14:textId="4AB7B976" w:rsidR="00F120EA" w:rsidRDefault="009C13B5" w:rsidP="008F53E5">
      <w:pPr>
        <w:spacing w:after="208" w:line="240" w:lineRule="auto"/>
        <w:ind w:right="63"/>
        <w:jc w:val="center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37D19D2C" wp14:editId="108C4288">
            <wp:extent cx="3672840" cy="2793732"/>
            <wp:effectExtent l="0" t="0" r="3810" b="6985"/>
            <wp:docPr id="5602564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663" cy="280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AE4C" w14:textId="3F205364" w:rsidR="009C13B5" w:rsidRDefault="009C13B5" w:rsidP="009C13B5">
      <w:pPr>
        <w:spacing w:after="208" w:line="240" w:lineRule="auto"/>
        <w:ind w:right="63"/>
        <w:jc w:val="center"/>
        <w:rPr>
          <w:rFonts w:ascii="Times New Roman" w:hAnsi="Times New Roman" w:cs="Times New Roman"/>
        </w:rPr>
      </w:pPr>
      <w:r w:rsidRPr="00A61C8B">
        <w:rPr>
          <w:rFonts w:ascii="Times New Roman" w:hAnsi="Times New Roman" w:cs="Times New Roman"/>
          <w:b/>
          <w:i/>
        </w:rPr>
        <w:t xml:space="preserve">Рис. </w:t>
      </w:r>
      <w:r w:rsidRPr="009C13B5">
        <w:rPr>
          <w:rFonts w:ascii="Times New Roman" w:hAnsi="Times New Roman" w:cs="Times New Roman"/>
          <w:b/>
          <w:i/>
        </w:rPr>
        <w:t>2</w:t>
      </w:r>
      <w:r w:rsidRPr="00A61C8B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</w:rPr>
        <w:t xml:space="preserve"> Профили концентраций и температуры в разные моменты времени в пульсирующем режиме колебаний.</w:t>
      </w:r>
    </w:p>
    <w:p w14:paraId="271B53CD" w14:textId="77777777" w:rsidR="009C13B5" w:rsidRPr="009C13B5" w:rsidRDefault="009C13B5" w:rsidP="008F53E5">
      <w:pPr>
        <w:spacing w:after="208" w:line="240" w:lineRule="auto"/>
        <w:ind w:right="63"/>
        <w:jc w:val="center"/>
        <w:rPr>
          <w:rFonts w:ascii="Times New Roman" w:hAnsi="Times New Roman" w:cs="Times New Roman"/>
        </w:rPr>
      </w:pPr>
    </w:p>
    <w:p w14:paraId="7F2B5AE7" w14:textId="40C8175F" w:rsidR="005A6649" w:rsidRPr="009C13B5" w:rsidRDefault="007D1CEC" w:rsidP="008F53E5">
      <w:pPr>
        <w:spacing w:after="104" w:line="240" w:lineRule="auto"/>
        <w:ind w:right="5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 w14:paraId="6F5417FB" w14:textId="6B9588F0" w:rsidR="00B637A4" w:rsidRDefault="000C1E16" w:rsidP="00B637A4">
      <w:pPr>
        <w:pStyle w:val="ac"/>
        <w:numPr>
          <w:ilvl w:val="0"/>
          <w:numId w:val="2"/>
        </w:numPr>
        <w:spacing w:after="104" w:line="240" w:lineRule="auto"/>
        <w:ind w:right="59"/>
        <w:rPr>
          <w:rFonts w:ascii="Times New Roman" w:hAnsi="Times New Roman" w:cs="Times New Roman"/>
          <w:szCs w:val="18"/>
          <w:lang w:val="en-US"/>
        </w:rPr>
      </w:pPr>
      <w:r w:rsidRPr="000C1E16">
        <w:rPr>
          <w:rFonts w:ascii="Times New Roman" w:hAnsi="Times New Roman" w:cs="Times New Roman"/>
          <w:szCs w:val="18"/>
          <w:lang w:val="en-US"/>
        </w:rPr>
        <w:t>Sivashinsky G. I. Diffusional-thermal theory of cellular flames //Combustion science and technology. – 1977. – Т. 15. – №. 3-4. – С. 137-145.</w:t>
      </w:r>
    </w:p>
    <w:p w14:paraId="57CF9A20" w14:textId="581121D2" w:rsidR="00DA02CC" w:rsidRPr="00B637A4" w:rsidRDefault="00DA02CC" w:rsidP="00B637A4">
      <w:pPr>
        <w:pStyle w:val="ac"/>
        <w:numPr>
          <w:ilvl w:val="0"/>
          <w:numId w:val="2"/>
        </w:numPr>
        <w:spacing w:after="104" w:line="240" w:lineRule="auto"/>
        <w:ind w:right="59"/>
        <w:rPr>
          <w:rFonts w:ascii="Times New Roman" w:hAnsi="Times New Roman" w:cs="Times New Roman"/>
          <w:szCs w:val="18"/>
          <w:lang w:val="en-US"/>
        </w:rPr>
      </w:pPr>
      <w:r w:rsidRPr="00DA02CC">
        <w:rPr>
          <w:rFonts w:ascii="Times New Roman" w:hAnsi="Times New Roman" w:cs="Times New Roman"/>
          <w:szCs w:val="18"/>
          <w:lang w:val="en-US"/>
        </w:rPr>
        <w:t>Korsakova A. I. et al. Stability of rich laminar hydrogen-air flames in a model with detailed transport and kinetic mechanisms //Combustion and Flame. – 2016. – Т. 163. – С. 478-486.</w:t>
      </w:r>
    </w:p>
    <w:p w14:paraId="4F54D5BB" w14:textId="4B18895C" w:rsidR="009C13B5" w:rsidRPr="00DA02CC" w:rsidRDefault="00DA02CC" w:rsidP="00DA02CC">
      <w:pPr>
        <w:pStyle w:val="ac"/>
        <w:numPr>
          <w:ilvl w:val="0"/>
          <w:numId w:val="2"/>
        </w:numPr>
        <w:spacing w:after="104" w:line="240" w:lineRule="auto"/>
        <w:ind w:right="59"/>
        <w:rPr>
          <w:rFonts w:ascii="Times New Roman" w:hAnsi="Times New Roman" w:cs="Times New Roman"/>
          <w:szCs w:val="18"/>
          <w:lang w:val="en-US"/>
        </w:rPr>
      </w:pPr>
      <w:r w:rsidRPr="00DA02CC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Konnov A. A. et al. A comprehensive review of measurements and data analysis of laminar burning velocities for various fuel+ air mixtures //Progress in Energy and Combustion Science. – 2018. – Т. 68. – С. 197-267.</w:t>
      </w:r>
    </w:p>
    <w:sectPr w:rsidR="009C13B5" w:rsidRPr="00DA02CC" w:rsidSect="00407690">
      <w:pgSz w:w="11906" w:h="16838"/>
      <w:pgMar w:top="1134" w:right="1361" w:bottom="1259" w:left="1361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28BD" w14:textId="77777777" w:rsidR="00B8012E" w:rsidRDefault="00B8012E" w:rsidP="00245411">
      <w:pPr>
        <w:spacing w:after="0" w:line="240" w:lineRule="auto"/>
      </w:pPr>
      <w:r>
        <w:separator/>
      </w:r>
    </w:p>
  </w:endnote>
  <w:endnote w:type="continuationSeparator" w:id="0">
    <w:p w14:paraId="525AA585" w14:textId="77777777" w:rsidR="00B8012E" w:rsidRDefault="00B8012E" w:rsidP="0024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C123" w14:textId="77777777" w:rsidR="00B8012E" w:rsidRDefault="00B8012E" w:rsidP="00245411">
      <w:pPr>
        <w:spacing w:after="0" w:line="240" w:lineRule="auto"/>
      </w:pPr>
      <w:r>
        <w:separator/>
      </w:r>
    </w:p>
  </w:footnote>
  <w:footnote w:type="continuationSeparator" w:id="0">
    <w:p w14:paraId="300C0482" w14:textId="77777777" w:rsidR="00B8012E" w:rsidRDefault="00B8012E" w:rsidP="0024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50CE"/>
    <w:multiLevelType w:val="hybridMultilevel"/>
    <w:tmpl w:val="DC7E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6F98"/>
    <w:multiLevelType w:val="hybridMultilevel"/>
    <w:tmpl w:val="CC7EB8C2"/>
    <w:lvl w:ilvl="0" w:tplc="615ED234">
      <w:start w:val="1"/>
      <w:numFmt w:val="decimal"/>
      <w:lvlText w:val="[%1]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E7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B4E6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E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66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4B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67A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E5D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6C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7467789">
    <w:abstractNumId w:val="1"/>
  </w:num>
  <w:num w:numId="2" w16cid:durableId="14667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25"/>
    <w:rsid w:val="000141F8"/>
    <w:rsid w:val="00044B73"/>
    <w:rsid w:val="000852DC"/>
    <w:rsid w:val="000C1E16"/>
    <w:rsid w:val="000E1FD6"/>
    <w:rsid w:val="000E457A"/>
    <w:rsid w:val="001160DD"/>
    <w:rsid w:val="00133973"/>
    <w:rsid w:val="00161E3D"/>
    <w:rsid w:val="001B00AD"/>
    <w:rsid w:val="001C5DDD"/>
    <w:rsid w:val="001C6D9A"/>
    <w:rsid w:val="0020004D"/>
    <w:rsid w:val="00216C87"/>
    <w:rsid w:val="00231D2F"/>
    <w:rsid w:val="002352F1"/>
    <w:rsid w:val="002360F6"/>
    <w:rsid w:val="00245411"/>
    <w:rsid w:val="00245740"/>
    <w:rsid w:val="002819D6"/>
    <w:rsid w:val="00285A9E"/>
    <w:rsid w:val="00292491"/>
    <w:rsid w:val="002C2BD4"/>
    <w:rsid w:val="002E0E21"/>
    <w:rsid w:val="002E1704"/>
    <w:rsid w:val="003646F4"/>
    <w:rsid w:val="00385740"/>
    <w:rsid w:val="003A1BD0"/>
    <w:rsid w:val="003A59D6"/>
    <w:rsid w:val="003B4CC5"/>
    <w:rsid w:val="003C34CF"/>
    <w:rsid w:val="003E1A0C"/>
    <w:rsid w:val="003E3F86"/>
    <w:rsid w:val="00407690"/>
    <w:rsid w:val="004107ED"/>
    <w:rsid w:val="004322C6"/>
    <w:rsid w:val="00483C1B"/>
    <w:rsid w:val="004E5010"/>
    <w:rsid w:val="005139EF"/>
    <w:rsid w:val="00560FFF"/>
    <w:rsid w:val="005A1EDB"/>
    <w:rsid w:val="005A6649"/>
    <w:rsid w:val="00614B65"/>
    <w:rsid w:val="0065591A"/>
    <w:rsid w:val="00655BD0"/>
    <w:rsid w:val="00683CF3"/>
    <w:rsid w:val="006915A7"/>
    <w:rsid w:val="006A31DA"/>
    <w:rsid w:val="006C076C"/>
    <w:rsid w:val="006C49D9"/>
    <w:rsid w:val="00700A1B"/>
    <w:rsid w:val="00767A7E"/>
    <w:rsid w:val="0077700C"/>
    <w:rsid w:val="00795464"/>
    <w:rsid w:val="007A7C93"/>
    <w:rsid w:val="007D1CEC"/>
    <w:rsid w:val="007D7708"/>
    <w:rsid w:val="007F439F"/>
    <w:rsid w:val="0081625D"/>
    <w:rsid w:val="008516D1"/>
    <w:rsid w:val="00866D41"/>
    <w:rsid w:val="0089556D"/>
    <w:rsid w:val="008A37E7"/>
    <w:rsid w:val="008B0076"/>
    <w:rsid w:val="008D12CA"/>
    <w:rsid w:val="008E33CF"/>
    <w:rsid w:val="008F53E5"/>
    <w:rsid w:val="009123CC"/>
    <w:rsid w:val="009230C8"/>
    <w:rsid w:val="009561EA"/>
    <w:rsid w:val="00957B76"/>
    <w:rsid w:val="00975D83"/>
    <w:rsid w:val="00991E41"/>
    <w:rsid w:val="009A475E"/>
    <w:rsid w:val="009B4092"/>
    <w:rsid w:val="009C075E"/>
    <w:rsid w:val="009C0BA6"/>
    <w:rsid w:val="009C13B5"/>
    <w:rsid w:val="009E4C8B"/>
    <w:rsid w:val="009E6B79"/>
    <w:rsid w:val="00A21805"/>
    <w:rsid w:val="00A422BB"/>
    <w:rsid w:val="00A42649"/>
    <w:rsid w:val="00A61C8B"/>
    <w:rsid w:val="00A95525"/>
    <w:rsid w:val="00AC7172"/>
    <w:rsid w:val="00B24736"/>
    <w:rsid w:val="00B4655F"/>
    <w:rsid w:val="00B637A4"/>
    <w:rsid w:val="00B8012E"/>
    <w:rsid w:val="00B80735"/>
    <w:rsid w:val="00B9475E"/>
    <w:rsid w:val="00C024E2"/>
    <w:rsid w:val="00C02570"/>
    <w:rsid w:val="00C038A4"/>
    <w:rsid w:val="00C2237B"/>
    <w:rsid w:val="00C2397C"/>
    <w:rsid w:val="00C40E9D"/>
    <w:rsid w:val="00C8288B"/>
    <w:rsid w:val="00C90D25"/>
    <w:rsid w:val="00C978C1"/>
    <w:rsid w:val="00CC3646"/>
    <w:rsid w:val="00CD6F43"/>
    <w:rsid w:val="00D04974"/>
    <w:rsid w:val="00D17ADF"/>
    <w:rsid w:val="00D3001B"/>
    <w:rsid w:val="00D31210"/>
    <w:rsid w:val="00D464FE"/>
    <w:rsid w:val="00D6004C"/>
    <w:rsid w:val="00D615A8"/>
    <w:rsid w:val="00DA02CC"/>
    <w:rsid w:val="00DF0EC1"/>
    <w:rsid w:val="00E04401"/>
    <w:rsid w:val="00E25AE1"/>
    <w:rsid w:val="00E512B7"/>
    <w:rsid w:val="00E67D89"/>
    <w:rsid w:val="00E70545"/>
    <w:rsid w:val="00EB6A38"/>
    <w:rsid w:val="00F120EA"/>
    <w:rsid w:val="00F6716A"/>
    <w:rsid w:val="00F711E7"/>
    <w:rsid w:val="00F82208"/>
    <w:rsid w:val="00F9235D"/>
    <w:rsid w:val="00FA7C96"/>
    <w:rsid w:val="00FB33CD"/>
    <w:rsid w:val="00FB3428"/>
    <w:rsid w:val="00FD32BF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0ED"/>
  <w15:chartTrackingRefBased/>
  <w15:docId w15:val="{9E173117-25FC-4677-958B-43C4302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0F6"/>
    <w:pPr>
      <w:spacing w:after="128" w:line="267" w:lineRule="auto"/>
      <w:ind w:left="10" w:right="61" w:hanging="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3428"/>
    <w:rPr>
      <w:color w:val="808080"/>
    </w:rPr>
  </w:style>
  <w:style w:type="paragraph" w:styleId="a4">
    <w:name w:val="header"/>
    <w:basedOn w:val="a"/>
    <w:link w:val="a5"/>
    <w:uiPriority w:val="99"/>
    <w:unhideWhenUsed/>
    <w:rsid w:val="0024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411"/>
    <w:rPr>
      <w:rFonts w:ascii="Times New Roman" w:eastAsia="Times New Roman" w:hAnsi="Times New Roman" w:cs="Times New Roman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24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411"/>
    <w:rPr>
      <w:rFonts w:ascii="Times New Roman" w:eastAsia="Times New Roman" w:hAnsi="Times New Roman" w:cs="Times New Roman"/>
      <w:color w:val="000000"/>
      <w:lang w:eastAsia="ru-RU"/>
    </w:rPr>
  </w:style>
  <w:style w:type="paragraph" w:styleId="a8">
    <w:name w:val="Revision"/>
    <w:hidden/>
    <w:uiPriority w:val="99"/>
    <w:semiHidden/>
    <w:rsid w:val="00E512B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8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73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66D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6D4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6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81E0-4DF3-4E6F-A486-DFFFB4C2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Губарев</dc:creator>
  <cp:keywords/>
  <dc:description/>
  <cp:lastModifiedBy>ASUS</cp:lastModifiedBy>
  <cp:revision>76</cp:revision>
  <cp:lastPrinted>2024-09-09T10:42:00Z</cp:lastPrinted>
  <dcterms:created xsi:type="dcterms:W3CDTF">2024-09-07T16:24:00Z</dcterms:created>
  <dcterms:modified xsi:type="dcterms:W3CDTF">2025-03-01T11:17:00Z</dcterms:modified>
</cp:coreProperties>
</file>