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EFB3E" w14:textId="1E633ECA" w:rsidR="00343261" w:rsidRDefault="00833651" w:rsidP="0052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="00F71D2D">
        <w:rPr>
          <w:rFonts w:ascii="Times New Roman" w:hAnsi="Times New Roman" w:cs="Times New Roman"/>
          <w:b/>
          <w:sz w:val="24"/>
          <w:szCs w:val="24"/>
        </w:rPr>
        <w:t>исленное моделирование</w:t>
      </w:r>
      <w:r w:rsidR="00371F84">
        <w:rPr>
          <w:rFonts w:ascii="Times New Roman" w:hAnsi="Times New Roman" w:cs="Times New Roman"/>
          <w:b/>
          <w:sz w:val="24"/>
          <w:szCs w:val="24"/>
        </w:rPr>
        <w:t xml:space="preserve"> поведения </w:t>
      </w:r>
      <w:r w:rsidR="00F71D2D">
        <w:rPr>
          <w:rFonts w:ascii="Times New Roman" w:hAnsi="Times New Roman" w:cs="Times New Roman"/>
          <w:b/>
          <w:sz w:val="24"/>
          <w:szCs w:val="24"/>
        </w:rPr>
        <w:t>вольфрам</w:t>
      </w:r>
      <w:r w:rsidR="00371F84">
        <w:rPr>
          <w:rFonts w:ascii="Times New Roman" w:hAnsi="Times New Roman" w:cs="Times New Roman"/>
          <w:b/>
          <w:sz w:val="24"/>
          <w:szCs w:val="24"/>
        </w:rPr>
        <w:t>а</w:t>
      </w:r>
      <w:r w:rsidR="00F71D2D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371F84">
        <w:rPr>
          <w:rFonts w:ascii="Times New Roman" w:hAnsi="Times New Roman" w:cs="Times New Roman"/>
          <w:b/>
          <w:sz w:val="24"/>
          <w:szCs w:val="24"/>
        </w:rPr>
        <w:t xml:space="preserve"> покрытием</w:t>
      </w:r>
      <w:r w:rsidR="00F71D2D">
        <w:rPr>
          <w:rFonts w:ascii="Times New Roman" w:hAnsi="Times New Roman" w:cs="Times New Roman"/>
          <w:b/>
          <w:sz w:val="24"/>
          <w:szCs w:val="24"/>
        </w:rPr>
        <w:t xml:space="preserve"> карбида бора</w:t>
      </w:r>
      <w:r w:rsidR="00371F84">
        <w:rPr>
          <w:rFonts w:ascii="Times New Roman" w:hAnsi="Times New Roman" w:cs="Times New Roman"/>
          <w:b/>
          <w:sz w:val="24"/>
          <w:szCs w:val="24"/>
        </w:rPr>
        <w:t xml:space="preserve"> при воздействии </w:t>
      </w:r>
      <w:r w:rsidR="00006C89" w:rsidRPr="0051170B">
        <w:rPr>
          <w:rFonts w:ascii="Times New Roman" w:hAnsi="Times New Roman" w:cs="Times New Roman"/>
          <w:b/>
          <w:sz w:val="24"/>
          <w:szCs w:val="24"/>
        </w:rPr>
        <w:t>интенсивных</w:t>
      </w:r>
      <w:r w:rsidR="00006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F84">
        <w:rPr>
          <w:rFonts w:ascii="Times New Roman" w:hAnsi="Times New Roman" w:cs="Times New Roman"/>
          <w:b/>
          <w:sz w:val="24"/>
          <w:szCs w:val="24"/>
        </w:rPr>
        <w:t>потоков плазмы</w:t>
      </w:r>
    </w:p>
    <w:p w14:paraId="3B4959CF" w14:textId="77777777" w:rsidR="00F71D2D" w:rsidRPr="00371F84" w:rsidRDefault="00F71D2D" w:rsidP="005254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Фомичева С.Ю.</w:t>
      </w:r>
      <w:r w:rsidR="00371F8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, Алябьев И.А.</w:t>
      </w:r>
      <w:r w:rsidR="00371F8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6F0183">
        <w:rPr>
          <w:rFonts w:ascii="Times New Roman" w:hAnsi="Times New Roman" w:cs="Times New Roman"/>
          <w:b/>
          <w:i/>
          <w:sz w:val="24"/>
          <w:szCs w:val="24"/>
        </w:rPr>
        <w:t>Бирюлин</w:t>
      </w:r>
      <w:proofErr w:type="spellEnd"/>
      <w:r w:rsidR="006F0183">
        <w:rPr>
          <w:rFonts w:ascii="Times New Roman" w:hAnsi="Times New Roman" w:cs="Times New Roman"/>
          <w:b/>
          <w:i/>
          <w:sz w:val="24"/>
          <w:szCs w:val="24"/>
        </w:rPr>
        <w:t xml:space="preserve"> Е.З.</w:t>
      </w:r>
      <w:r w:rsidR="00371F8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6F018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371F84">
        <w:rPr>
          <w:rFonts w:ascii="Times New Roman" w:hAnsi="Times New Roman" w:cs="Times New Roman"/>
          <w:b/>
          <w:i/>
          <w:sz w:val="24"/>
          <w:szCs w:val="24"/>
        </w:rPr>
        <w:t>Лущиков</w:t>
      </w:r>
      <w:proofErr w:type="spellEnd"/>
      <w:r w:rsidR="00371F84">
        <w:rPr>
          <w:rFonts w:ascii="Times New Roman" w:hAnsi="Times New Roman" w:cs="Times New Roman"/>
          <w:b/>
          <w:i/>
          <w:sz w:val="24"/>
          <w:szCs w:val="24"/>
        </w:rPr>
        <w:t xml:space="preserve"> А.Ю.</w:t>
      </w:r>
      <w:r w:rsidR="00371F8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371F84">
        <w:rPr>
          <w:rFonts w:ascii="Times New Roman" w:hAnsi="Times New Roman" w:cs="Times New Roman"/>
          <w:b/>
          <w:i/>
          <w:sz w:val="24"/>
          <w:szCs w:val="24"/>
        </w:rPr>
        <w:t>, Позняк И.М.</w:t>
      </w:r>
      <w:r w:rsidR="00371F8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371F84">
        <w:rPr>
          <w:rFonts w:ascii="Times New Roman" w:hAnsi="Times New Roman" w:cs="Times New Roman"/>
          <w:b/>
          <w:i/>
          <w:sz w:val="24"/>
          <w:szCs w:val="24"/>
        </w:rPr>
        <w:t>, Цыбенко В.Ю.</w:t>
      </w:r>
      <w:r w:rsidR="00371F8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08071D57" w14:textId="77777777" w:rsidR="00371F84" w:rsidRDefault="00371F84" w:rsidP="0052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сотрудник</w:t>
      </w:r>
    </w:p>
    <w:p w14:paraId="13FD3C7E" w14:textId="77777777" w:rsidR="00371F84" w:rsidRDefault="00371F84" w:rsidP="005254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1F84">
        <w:rPr>
          <w:rFonts w:ascii="Times New Roman" w:eastAsia="Calibri" w:hAnsi="Times New Roman" w:cs="Times New Roman"/>
          <w:sz w:val="24"/>
          <w:szCs w:val="24"/>
        </w:rPr>
        <w:t>АО «ГНЦ РФ Троицкий институт инновационных и термоядерных исследований»</w:t>
      </w:r>
      <w:r>
        <w:rPr>
          <w:rFonts w:ascii="Times New Roman" w:eastAsia="Calibri" w:hAnsi="Times New Roman" w:cs="Times New Roman"/>
          <w:sz w:val="24"/>
          <w:szCs w:val="24"/>
        </w:rPr>
        <w:t>, Троицк, Россия</w:t>
      </w:r>
      <w:r w:rsidRPr="00371F84">
        <w:rPr>
          <w:rFonts w:ascii="Times New Roman" w:eastAsia="Calibri" w:hAnsi="Times New Roman" w:cs="Times New Roman"/>
          <w:sz w:val="24"/>
          <w:szCs w:val="24"/>
        </w:rPr>
        <w:br/>
        <w:t>Московский физико-технический институт (национальный исследовательский университет)</w:t>
      </w:r>
      <w:r>
        <w:rPr>
          <w:rFonts w:ascii="Times New Roman" w:eastAsia="Calibri" w:hAnsi="Times New Roman" w:cs="Times New Roman"/>
          <w:sz w:val="24"/>
          <w:szCs w:val="24"/>
        </w:rPr>
        <w:t>, физтех-школа физики и исследований им. Ландау, Москва, Россия</w:t>
      </w:r>
    </w:p>
    <w:p w14:paraId="750675DA" w14:textId="77777777" w:rsidR="009E4F61" w:rsidRPr="0051170B" w:rsidRDefault="00371F84" w:rsidP="005254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4F61">
        <w:rPr>
          <w:rFonts w:ascii="Times New Roman" w:eastAsia="Calibri" w:hAnsi="Times New Roman" w:cs="Times New Roman"/>
          <w:sz w:val="24"/>
          <w:szCs w:val="24"/>
          <w:lang w:val="de-DE"/>
        </w:rPr>
        <w:t>E</w:t>
      </w:r>
      <w:r w:rsidRPr="0051170B">
        <w:rPr>
          <w:rFonts w:ascii="Times New Roman" w:eastAsia="Calibri" w:hAnsi="Times New Roman" w:cs="Times New Roman"/>
          <w:sz w:val="24"/>
          <w:szCs w:val="24"/>
        </w:rPr>
        <w:t>-</w:t>
      </w:r>
      <w:r w:rsidRPr="009E4F61">
        <w:rPr>
          <w:rFonts w:ascii="Times New Roman" w:eastAsia="Calibri" w:hAnsi="Times New Roman" w:cs="Times New Roman"/>
          <w:sz w:val="24"/>
          <w:szCs w:val="24"/>
          <w:lang w:val="de-DE"/>
        </w:rPr>
        <w:t>mail</w:t>
      </w:r>
      <w:r w:rsidRPr="0051170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E4F61">
        <w:rPr>
          <w:rFonts w:ascii="Times New Roman" w:eastAsia="Calibri" w:hAnsi="Times New Roman" w:cs="Times New Roman"/>
          <w:sz w:val="24"/>
          <w:szCs w:val="24"/>
          <w:lang w:val="de-DE"/>
        </w:rPr>
        <w:t>fomicheva</w:t>
      </w:r>
      <w:proofErr w:type="spellEnd"/>
      <w:r w:rsidRPr="0051170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E4F61">
        <w:rPr>
          <w:rFonts w:ascii="Times New Roman" w:eastAsia="Calibri" w:hAnsi="Times New Roman" w:cs="Times New Roman"/>
          <w:sz w:val="24"/>
          <w:szCs w:val="24"/>
          <w:lang w:val="de-DE"/>
        </w:rPr>
        <w:t>siu</w:t>
      </w:r>
      <w:proofErr w:type="spellEnd"/>
      <w:r w:rsidRPr="0051170B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9E4F61">
        <w:rPr>
          <w:rFonts w:ascii="Times New Roman" w:eastAsia="Calibri" w:hAnsi="Times New Roman" w:cs="Times New Roman"/>
          <w:sz w:val="24"/>
          <w:szCs w:val="24"/>
          <w:lang w:val="de-DE"/>
        </w:rPr>
        <w:t>phystech</w:t>
      </w:r>
      <w:proofErr w:type="spellEnd"/>
      <w:r w:rsidRPr="0051170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E4F61">
        <w:rPr>
          <w:rFonts w:ascii="Times New Roman" w:eastAsia="Calibri" w:hAnsi="Times New Roman" w:cs="Times New Roman"/>
          <w:sz w:val="24"/>
          <w:szCs w:val="24"/>
          <w:lang w:val="de-DE"/>
        </w:rPr>
        <w:t>edu</w:t>
      </w:r>
      <w:proofErr w:type="spellEnd"/>
    </w:p>
    <w:p w14:paraId="16D99229" w14:textId="0DE0A5CE" w:rsidR="00FC20B1" w:rsidRPr="0051170B" w:rsidRDefault="003D4C7B" w:rsidP="0015045B">
      <w:pPr>
        <w:pStyle w:val="a4"/>
        <w:spacing w:before="0" w:beforeAutospacing="0" w:after="0" w:afterAutospacing="0"/>
        <w:ind w:firstLine="426"/>
        <w:jc w:val="both"/>
      </w:pPr>
      <w:r w:rsidRPr="0051170B">
        <w:t xml:space="preserve">Одной из </w:t>
      </w:r>
      <w:r w:rsidR="00FB2CBE" w:rsidRPr="0051170B">
        <w:t>ключевых</w:t>
      </w:r>
      <w:r w:rsidRPr="0051170B">
        <w:t xml:space="preserve"> задач </w:t>
      </w:r>
      <w:r w:rsidR="00612435" w:rsidRPr="0051170B">
        <w:t xml:space="preserve">при </w:t>
      </w:r>
      <w:r w:rsidR="00254073" w:rsidRPr="0051170B">
        <w:t>разработке</w:t>
      </w:r>
      <w:r w:rsidR="00612435" w:rsidRPr="0051170B">
        <w:t xml:space="preserve"> токамака-реактора </w:t>
      </w:r>
      <w:r w:rsidRPr="0051170B">
        <w:t xml:space="preserve">ИТЭР является </w:t>
      </w:r>
      <w:r w:rsidR="00612435" w:rsidRPr="0051170B">
        <w:t>выбор</w:t>
      </w:r>
      <w:r w:rsidRPr="0051170B">
        <w:t xml:space="preserve"> материал</w:t>
      </w:r>
      <w:r w:rsidR="00A02A66" w:rsidRPr="0051170B">
        <w:t>ов</w:t>
      </w:r>
      <w:r w:rsidRPr="0051170B">
        <w:t xml:space="preserve"> для </w:t>
      </w:r>
      <w:r w:rsidR="002E69E5" w:rsidRPr="0051170B">
        <w:t xml:space="preserve">защитных </w:t>
      </w:r>
      <w:r w:rsidRPr="0051170B">
        <w:t>покрытий вакуумной камеры</w:t>
      </w:r>
      <w:r w:rsidR="00DA19AE" w:rsidRPr="0051170B">
        <w:t xml:space="preserve">. </w:t>
      </w:r>
      <w:r w:rsidR="0029611A" w:rsidRPr="0051170B">
        <w:t>М</w:t>
      </w:r>
      <w:r w:rsidR="00DA19AE" w:rsidRPr="0051170B">
        <w:t>атериалы</w:t>
      </w:r>
      <w:r w:rsidR="00DB1A68" w:rsidRPr="0051170B">
        <w:t>-кандидаты</w:t>
      </w:r>
      <w:r w:rsidR="0074076C" w:rsidRPr="0051170B">
        <w:t xml:space="preserve"> </w:t>
      </w:r>
      <w:r w:rsidR="00D17844" w:rsidRPr="0051170B">
        <w:t xml:space="preserve">должны </w:t>
      </w:r>
      <w:r w:rsidR="00FE518A" w:rsidRPr="0051170B">
        <w:t>демонстрировать</w:t>
      </w:r>
      <w:r w:rsidR="00D17844" w:rsidRPr="0051170B">
        <w:t xml:space="preserve"> </w:t>
      </w:r>
      <w:r w:rsidR="005033B5" w:rsidRPr="0051170B">
        <w:t>низк</w:t>
      </w:r>
      <w:r w:rsidR="001B1F1F" w:rsidRPr="0051170B">
        <w:t xml:space="preserve">ую скорость </w:t>
      </w:r>
      <w:r w:rsidR="00B415B3" w:rsidRPr="0051170B">
        <w:t xml:space="preserve">эрозии </w:t>
      </w:r>
      <w:r w:rsidR="00546868" w:rsidRPr="0051170B">
        <w:t xml:space="preserve">в условиях </w:t>
      </w:r>
      <w:r w:rsidR="0074076C" w:rsidRPr="0051170B">
        <w:t>интенсивн</w:t>
      </w:r>
      <w:r w:rsidR="003217FC" w:rsidRPr="0051170B">
        <w:t>ых</w:t>
      </w:r>
      <w:r w:rsidR="0074076C" w:rsidRPr="0051170B">
        <w:t xml:space="preserve"> плазменно-теплов</w:t>
      </w:r>
      <w:r w:rsidR="003217FC" w:rsidRPr="0051170B">
        <w:t>ых</w:t>
      </w:r>
      <w:r w:rsidR="0074076C" w:rsidRPr="0051170B">
        <w:t xml:space="preserve"> воздействи</w:t>
      </w:r>
      <w:r w:rsidR="003217FC" w:rsidRPr="0051170B">
        <w:t>й</w:t>
      </w:r>
      <w:r w:rsidR="00DA19AE" w:rsidRPr="0051170B">
        <w:t xml:space="preserve">, </w:t>
      </w:r>
      <w:r w:rsidR="00612435" w:rsidRPr="0051170B">
        <w:t>ожидаемых</w:t>
      </w:r>
      <w:r w:rsidR="00DA19AE" w:rsidRPr="0051170B">
        <w:t xml:space="preserve"> при работе </w:t>
      </w:r>
      <w:r w:rsidR="001D156D" w:rsidRPr="0051170B">
        <w:t>токамака-реактора</w:t>
      </w:r>
      <w:r w:rsidR="0074076C" w:rsidRPr="0051170B">
        <w:t>.</w:t>
      </w:r>
      <w:r w:rsidR="003217FC" w:rsidRPr="0051170B">
        <w:t xml:space="preserve"> </w:t>
      </w:r>
      <w:r w:rsidR="00A07E17" w:rsidRPr="0051170B">
        <w:t>Н</w:t>
      </w:r>
      <w:r w:rsidR="003E4F1D" w:rsidRPr="0051170B">
        <w:t xml:space="preserve">еобходимо свести к минимуму </w:t>
      </w:r>
      <w:r w:rsidR="00937D51" w:rsidRPr="0051170B">
        <w:t>уровень</w:t>
      </w:r>
      <w:r w:rsidR="00A07E17" w:rsidRPr="0051170B">
        <w:t xml:space="preserve"> </w:t>
      </w:r>
      <w:r w:rsidR="0038141B" w:rsidRPr="0051170B">
        <w:t>радиологическо</w:t>
      </w:r>
      <w:r w:rsidR="00A07E17" w:rsidRPr="0051170B">
        <w:t xml:space="preserve">го загрязнения </w:t>
      </w:r>
      <w:r w:rsidR="00684D34" w:rsidRPr="0051170B">
        <w:t>вследствие</w:t>
      </w:r>
      <w:r w:rsidR="00A07E17" w:rsidRPr="0051170B">
        <w:t xml:space="preserve"> захвата трития</w:t>
      </w:r>
      <w:r w:rsidR="00A36831" w:rsidRPr="0051170B">
        <w:t xml:space="preserve"> и наведенной радиоактивности</w:t>
      </w:r>
      <w:r w:rsidR="00684D34" w:rsidRPr="0051170B">
        <w:t>, а также</w:t>
      </w:r>
      <w:r w:rsidR="0038141B" w:rsidRPr="0051170B">
        <w:t xml:space="preserve"> химическо</w:t>
      </w:r>
      <w:r w:rsidR="00607AC5" w:rsidRPr="0051170B">
        <w:t>го</w:t>
      </w:r>
      <w:r w:rsidR="0038141B" w:rsidRPr="0051170B">
        <w:t xml:space="preserve"> </w:t>
      </w:r>
      <w:r w:rsidR="00684D34" w:rsidRPr="0051170B">
        <w:t xml:space="preserve">– </w:t>
      </w:r>
      <w:r w:rsidR="00496BDB" w:rsidRPr="0051170B">
        <w:t>из-за возможной</w:t>
      </w:r>
      <w:r w:rsidR="00A07E17" w:rsidRPr="0051170B">
        <w:t xml:space="preserve"> токсичности самого материала</w:t>
      </w:r>
      <w:r w:rsidR="00684D34" w:rsidRPr="0051170B">
        <w:t xml:space="preserve"> или продуктов его эрозии</w:t>
      </w:r>
      <w:r w:rsidR="0038141B" w:rsidRPr="0051170B">
        <w:t>.</w:t>
      </w:r>
      <w:r w:rsidR="00421715" w:rsidRPr="0051170B">
        <w:t xml:space="preserve"> Поступающие от стенки из-за испарения и распыления примеси не должны препятствовать достижению требуемых параметров </w:t>
      </w:r>
      <w:r w:rsidR="005E668D" w:rsidRPr="0051170B">
        <w:t xml:space="preserve">термоядерной </w:t>
      </w:r>
      <w:r w:rsidR="00421715" w:rsidRPr="0051170B">
        <w:t>плазмы.</w:t>
      </w:r>
    </w:p>
    <w:p w14:paraId="53888A09" w14:textId="28A47B21" w:rsidR="000B722B" w:rsidRDefault="00937D51" w:rsidP="000B722B">
      <w:pPr>
        <w:pStyle w:val="a4"/>
        <w:spacing w:before="0" w:beforeAutospacing="0" w:after="0" w:afterAutospacing="0"/>
        <w:ind w:firstLine="426"/>
        <w:jc w:val="both"/>
      </w:pPr>
      <w:r w:rsidRPr="0051170B">
        <w:t xml:space="preserve">Длительное время в качестве </w:t>
      </w:r>
      <w:r w:rsidR="002F3662" w:rsidRPr="0051170B">
        <w:t xml:space="preserve">материала для первой стенки </w:t>
      </w:r>
      <w:r w:rsidR="00101CAC" w:rsidRPr="0051170B">
        <w:t>ИТЭР предполагалось использовать бериллий</w:t>
      </w:r>
      <w:r w:rsidR="004019FF" w:rsidRPr="0051170B">
        <w:t xml:space="preserve">, а для облицовки </w:t>
      </w:r>
      <w:proofErr w:type="spellStart"/>
      <w:r w:rsidR="004019FF" w:rsidRPr="0051170B">
        <w:t>дивертора</w:t>
      </w:r>
      <w:proofErr w:type="spellEnd"/>
      <w:r w:rsidR="004019FF" w:rsidRPr="0051170B">
        <w:t xml:space="preserve"> – вольфрам.</w:t>
      </w:r>
      <w:r w:rsidR="00A36831" w:rsidRPr="0051170B">
        <w:t xml:space="preserve"> Однако, в 2024 году </w:t>
      </w:r>
      <w:r w:rsidR="00FF699A" w:rsidRPr="0051170B">
        <w:t>организации</w:t>
      </w:r>
      <w:r w:rsidR="001658DA" w:rsidRPr="0051170B">
        <w:t xml:space="preserve"> ИТЭР </w:t>
      </w:r>
      <w:r w:rsidR="00A36831" w:rsidRPr="0051170B">
        <w:t xml:space="preserve">принято решение </w:t>
      </w:r>
      <w:r w:rsidR="00621572" w:rsidRPr="0051170B">
        <w:t>использовать вольфрам для облицовки всей вакуумной камеры</w:t>
      </w:r>
      <w:r w:rsidR="00905A98" w:rsidRPr="0051170B">
        <w:t xml:space="preserve">, из-за </w:t>
      </w:r>
      <w:r w:rsidR="000B722B" w:rsidRPr="0051170B">
        <w:t>опасений</w:t>
      </w:r>
      <w:r w:rsidR="008B468B" w:rsidRPr="0051170B">
        <w:t xml:space="preserve">, связанных с </w:t>
      </w:r>
      <w:r w:rsidR="00905A98" w:rsidRPr="0051170B">
        <w:t>токсичност</w:t>
      </w:r>
      <w:r w:rsidR="008B468B" w:rsidRPr="0051170B">
        <w:t>ью</w:t>
      </w:r>
      <w:r w:rsidR="00905A98" w:rsidRPr="0051170B">
        <w:t xml:space="preserve"> пыли бериллия</w:t>
      </w:r>
      <w:r w:rsidR="000B722B" w:rsidRPr="0051170B">
        <w:t>.</w:t>
      </w:r>
    </w:p>
    <w:p w14:paraId="514403D7" w14:textId="10AE5545" w:rsidR="003759C7" w:rsidRPr="00FE1D28" w:rsidRDefault="00AF64D7" w:rsidP="00135DC1">
      <w:pPr>
        <w:pStyle w:val="a4"/>
        <w:spacing w:before="0" w:beforeAutospacing="0" w:after="0" w:afterAutospacing="0"/>
        <w:ind w:firstLine="426"/>
        <w:jc w:val="both"/>
        <w:rPr>
          <w:b/>
          <w:bCs/>
          <w:i/>
          <w:iCs/>
        </w:rPr>
      </w:pPr>
      <w:r>
        <w:t xml:space="preserve">Вольфрам </w:t>
      </w:r>
      <w:r w:rsidR="008D55A0" w:rsidRPr="00E33657">
        <w:t xml:space="preserve">выбран </w:t>
      </w:r>
      <w:r w:rsidR="00934636" w:rsidRPr="00E33657">
        <w:t xml:space="preserve">в качестве </w:t>
      </w:r>
      <w:r w:rsidR="00BD462B" w:rsidRPr="00E33657">
        <w:t xml:space="preserve">облицовочного </w:t>
      </w:r>
      <w:r w:rsidR="00934636" w:rsidRPr="00E33657">
        <w:t>материала</w:t>
      </w:r>
      <w:r w:rsidR="00934636">
        <w:t xml:space="preserve"> </w:t>
      </w:r>
      <w:r>
        <w:t>для защитн</w:t>
      </w:r>
      <w:r w:rsidR="00BD462B" w:rsidRPr="00BD462B">
        <w:t>ых</w:t>
      </w:r>
      <w:r>
        <w:t xml:space="preserve"> покрыти</w:t>
      </w:r>
      <w:r w:rsidR="00BD462B" w:rsidRPr="00BD462B">
        <w:t>й</w:t>
      </w:r>
      <w:r>
        <w:t xml:space="preserve"> вакуумной камеры токамака-реактора ИТЭР благодаря высокой теплопроводности</w:t>
      </w:r>
      <w:r w:rsidR="00672CA2">
        <w:t xml:space="preserve"> и</w:t>
      </w:r>
      <w:r>
        <w:t xml:space="preserve"> наибольшей среди металлов температуре плавления (3695 K)</w:t>
      </w:r>
      <w:r w:rsidR="00BD022B">
        <w:t xml:space="preserve">, </w:t>
      </w:r>
      <w:r w:rsidR="00BD022B" w:rsidRPr="00E33657">
        <w:t xml:space="preserve">что обеспечивает </w:t>
      </w:r>
      <w:r w:rsidR="002E4AA8" w:rsidRPr="00E33657">
        <w:t>малую скорость</w:t>
      </w:r>
      <w:r w:rsidR="00BD022B" w:rsidRPr="00E33657">
        <w:t xml:space="preserve"> </w:t>
      </w:r>
      <w:proofErr w:type="gramStart"/>
      <w:r w:rsidR="00BD022B" w:rsidRPr="00E33657">
        <w:t>эрози</w:t>
      </w:r>
      <w:r w:rsidR="002E4AA8" w:rsidRPr="00E33657">
        <w:t>и</w:t>
      </w:r>
      <w:r w:rsidR="00BD022B">
        <w:t>.</w:t>
      </w:r>
      <w:r w:rsidR="008F78E7">
        <w:t>[</w:t>
      </w:r>
      <w:proofErr w:type="gramEnd"/>
      <w:r w:rsidR="008F78E7">
        <w:t>3</w:t>
      </w:r>
      <w:r w:rsidR="00E33657" w:rsidRPr="00E33657">
        <w:t>]</w:t>
      </w:r>
      <w:r>
        <w:t xml:space="preserve"> Однако</w:t>
      </w:r>
      <w:r w:rsidR="00A578DD" w:rsidRPr="00A578DD">
        <w:t xml:space="preserve"> </w:t>
      </w:r>
      <w:r w:rsidR="00A578DD">
        <w:t>вольфрам не является идеальным материалом: его сложно обрабатывать</w:t>
      </w:r>
      <w:r>
        <w:t xml:space="preserve">, </w:t>
      </w:r>
      <w:r w:rsidR="00A578DD">
        <w:t>он растрескивается</w:t>
      </w:r>
      <w:r>
        <w:t xml:space="preserve"> при</w:t>
      </w:r>
      <w:r w:rsidR="00A578DD">
        <w:t xml:space="preserve"> облучении плазмой при температурах ниже границы хрупко-пластичного перехода</w:t>
      </w:r>
      <w:r>
        <w:t xml:space="preserve">, что снижает </w:t>
      </w:r>
      <w:r w:rsidRPr="00A578DD">
        <w:t>теплопроводность</w:t>
      </w:r>
      <w:r>
        <w:t xml:space="preserve"> и приводит к выбросу частиц в камеру. </w:t>
      </w:r>
      <w:r w:rsidRPr="00A578DD">
        <w:t>В</w:t>
      </w:r>
      <w:r w:rsidR="00C6074D" w:rsidRPr="00A578DD">
        <w:t>о время</w:t>
      </w:r>
      <w:r w:rsidR="00A578DD">
        <w:t xml:space="preserve"> переходных </w:t>
      </w:r>
      <w:r w:rsidR="00C6074D" w:rsidRPr="00A578DD">
        <w:t>процессов</w:t>
      </w:r>
      <w:r w:rsidR="00C6074D">
        <w:t xml:space="preserve"> </w:t>
      </w:r>
      <w:r>
        <w:t xml:space="preserve">возможно расплавление </w:t>
      </w:r>
      <w:r w:rsidR="004547A6" w:rsidRPr="00A578DD">
        <w:t>поверхностного слоя</w:t>
      </w:r>
      <w:r w:rsidR="004547A6">
        <w:t xml:space="preserve"> </w:t>
      </w:r>
      <w:r w:rsidRPr="00A578DD">
        <w:t>покрытия</w:t>
      </w:r>
      <w:r w:rsidR="00C27BF1">
        <w:t xml:space="preserve"> </w:t>
      </w:r>
      <w:r>
        <w:t>с инжекцией капель в вакуум</w:t>
      </w:r>
      <w:r w:rsidR="00135DC1" w:rsidRPr="00135DC1">
        <w:t xml:space="preserve">. </w:t>
      </w:r>
      <w:r w:rsidR="008E3882">
        <w:t>И</w:t>
      </w:r>
      <w:r>
        <w:t xml:space="preserve">з-за высокого атомного номера (Z) содержание примесей вольфрама в плазме должно быть строго ограничено (≤10⁻⁵ от её </w:t>
      </w:r>
      <w:proofErr w:type="gramStart"/>
      <w:r>
        <w:t>плотности)</w:t>
      </w:r>
      <w:r w:rsidR="00A578DD" w:rsidRPr="00A578DD">
        <w:t>[</w:t>
      </w:r>
      <w:proofErr w:type="gramEnd"/>
      <w:r w:rsidR="008F78E7">
        <w:t>1</w:t>
      </w:r>
      <w:r w:rsidR="00A578DD" w:rsidRPr="00A578DD">
        <w:t>]</w:t>
      </w:r>
      <w:r w:rsidR="008D6EA8">
        <w:t xml:space="preserve">, </w:t>
      </w:r>
      <w:r w:rsidR="00D86418" w:rsidRPr="00A578DD">
        <w:t>и сложность достижения этого уровня вообще</w:t>
      </w:r>
      <w:r w:rsidR="008D6EA8" w:rsidRPr="00A578DD">
        <w:t xml:space="preserve"> ставит вопрос о возможности применения вольфрама в качестве материала для первой стенки.</w:t>
      </w:r>
      <w:r w:rsidR="00147A50">
        <w:t xml:space="preserve"> </w:t>
      </w:r>
    </w:p>
    <w:p w14:paraId="7069F12A" w14:textId="6844827D" w:rsidR="00476CD9" w:rsidRPr="00077EF7" w:rsidRDefault="00891D46" w:rsidP="00077EF7">
      <w:pPr>
        <w:pStyle w:val="a4"/>
        <w:spacing w:before="0" w:beforeAutospacing="0" w:after="0" w:afterAutospacing="0"/>
        <w:ind w:firstLine="426"/>
        <w:jc w:val="both"/>
        <w:rPr>
          <w:b/>
          <w:bCs/>
          <w:i/>
          <w:iCs/>
        </w:rPr>
      </w:pPr>
      <w:r>
        <w:t>В настоящее время в качестве одного из возможных решений</w:t>
      </w:r>
      <w:r w:rsidR="00B70960">
        <w:t xml:space="preserve"> </w:t>
      </w:r>
      <w:r w:rsidR="00FE1D28">
        <w:t xml:space="preserve">данной проблемы </w:t>
      </w:r>
      <w:r>
        <w:t>рассматривается нанесение термостойких керамических покрытий</w:t>
      </w:r>
      <w:r w:rsidR="0028379D">
        <w:t xml:space="preserve"> </w:t>
      </w:r>
      <w:r w:rsidR="0028379D" w:rsidRPr="00FE1D28">
        <w:t>на вольфрам</w:t>
      </w:r>
      <w:r w:rsidRPr="00FE1D28">
        <w:t>, с возможностью быстрого возобновления</w:t>
      </w:r>
      <w:r w:rsidR="00FE1D28">
        <w:t>. В</w:t>
      </w:r>
      <w:r w:rsidR="00B70960" w:rsidRPr="00FE1D28">
        <w:t xml:space="preserve"> качестве перспективного варианта предлагается </w:t>
      </w:r>
      <w:r w:rsidRPr="00FE1D28">
        <w:t>покрытие</w:t>
      </w:r>
      <w:r>
        <w:t xml:space="preserve"> карбида бора </w:t>
      </w:r>
      <w:r>
        <w:rPr>
          <w:lang w:val="en-US"/>
        </w:rPr>
        <w:t>B</w:t>
      </w:r>
      <w:r w:rsidRPr="00680DC6">
        <w:rPr>
          <w:vertAlign w:val="subscript"/>
        </w:rPr>
        <w:t>4</w:t>
      </w:r>
      <w:r>
        <w:rPr>
          <w:lang w:val="en-US"/>
        </w:rPr>
        <w:t>C</w:t>
      </w:r>
      <w:r w:rsidR="00680DC6">
        <w:t xml:space="preserve"> толщиной от нескольких микрон до миллиметра.</w:t>
      </w:r>
      <w:r w:rsidR="00255969">
        <w:t xml:space="preserve"> Но перед тем,</w:t>
      </w:r>
      <w:r w:rsidR="00DD5AA1">
        <w:t xml:space="preserve"> как использовать данное решение</w:t>
      </w:r>
      <w:r w:rsidR="00255969">
        <w:t xml:space="preserve"> для </w:t>
      </w:r>
      <w:r w:rsidR="00DD5AA1">
        <w:t>ИТЭР, необходимо провести исследования покрытия.</w:t>
      </w:r>
      <w:r w:rsidR="00255969">
        <w:t xml:space="preserve"> </w:t>
      </w:r>
      <w:r w:rsidR="00FE1D28">
        <w:t xml:space="preserve">На базе нашего научного института </w:t>
      </w:r>
      <w:r w:rsidR="00255969">
        <w:t xml:space="preserve">проводятся испытания </w:t>
      </w:r>
      <w:r w:rsidR="00DD5AA1">
        <w:t xml:space="preserve">вольфрама с покрытием карбида бора </w:t>
      </w:r>
      <w:r w:rsidR="00255969">
        <w:t>на плазменном ускорител</w:t>
      </w:r>
      <w:r w:rsidR="00077EF7">
        <w:t>е КСПУ. Для выбора наилучших параметров облучения нам было необходимо предварительно провести численное моделирование.</w:t>
      </w:r>
    </w:p>
    <w:p w14:paraId="3206E822" w14:textId="77777777" w:rsidR="00680DC6" w:rsidRDefault="0008333B" w:rsidP="0015045B">
      <w:pPr>
        <w:pStyle w:val="a4"/>
        <w:spacing w:before="0" w:beforeAutospacing="0" w:after="0" w:afterAutospacing="0"/>
        <w:ind w:firstLine="426"/>
        <w:jc w:val="both"/>
      </w:pPr>
      <w:r>
        <w:t>В данной работе представлена расчетная модель, описывающая поведение вольфрама с покрытием карбида бора при воздействии плазменно-теплового потока. В модели решается уравнение теплопроводности</w:t>
      </w:r>
    </w:p>
    <w:p w14:paraId="4E04297B" w14:textId="77777777" w:rsidR="0008333B" w:rsidRPr="00465CF7" w:rsidRDefault="00945915" w:rsidP="0015045B">
      <w:pPr>
        <w:spacing w:after="0"/>
        <w:jc w:val="both"/>
        <w:rPr>
          <w:iCs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hAnsi="Cambria Math"/>
                  <w:lang w:val="en-US"/>
                </w:rPr>
                <m:t>ρ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eq</m:t>
                  </m:r>
                </m:sup>
              </m:sSub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∂t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r>
                <w:rPr>
                  <w:rFonts w:ascii="Cambria Math" w:hAnsi="Cambria Math"/>
                </w:rPr>
                <m:t>∇∙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k∇T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lang w:val="en-US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e>
          </m:eqArr>
        </m:oMath>
      </m:oMathPara>
    </w:p>
    <w:p w14:paraId="10B83851" w14:textId="5C19729A" w:rsidR="0008333B" w:rsidRDefault="00077EF7" w:rsidP="0015045B">
      <w:pPr>
        <w:pStyle w:val="a4"/>
        <w:spacing w:before="0" w:beforeAutospacing="0" w:after="0" w:afterAutospacing="0"/>
        <w:jc w:val="both"/>
      </w:pPr>
      <w:r>
        <w:t>где ρ — плотность. кг/м</w:t>
      </w:r>
      <w:r>
        <w:rPr>
          <w:vertAlign w:val="superscript"/>
        </w:rPr>
        <w:t>3</w:t>
      </w:r>
      <w:r w:rsidR="0008333B">
        <w:t xml:space="preserve"> 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eq</m:t>
            </m:r>
          </m:sup>
        </m:sSubSup>
      </m:oMath>
      <w:r w:rsidR="0008333B">
        <w:t xml:space="preserve"> — «эквивалентная» удел</w:t>
      </w:r>
      <w:r w:rsidR="00464259">
        <w:t>ьная теплоёмкость, Дж/(</w:t>
      </w:r>
      <w:proofErr w:type="spellStart"/>
      <w:r w:rsidR="00464259">
        <w:t>кг·К</w:t>
      </w:r>
      <w:proofErr w:type="spellEnd"/>
      <w:r w:rsidR="00464259">
        <w:t>) [2</w:t>
      </w:r>
      <w:r w:rsidR="0008333B">
        <w:t>]; k — коэффициент теплопроводности, Вт/(</w:t>
      </w:r>
      <w:proofErr w:type="spellStart"/>
      <w:r w:rsidR="0008333B">
        <w:t>м·К</w:t>
      </w:r>
      <w:proofErr w:type="spellEnd"/>
      <w:r w:rsidR="0008333B">
        <w:t>); T — температура, К; t — время, с; Q —</w:t>
      </w:r>
      <w:r>
        <w:t xml:space="preserve"> функция источников тепла, Вт/м</w:t>
      </w:r>
      <w:r w:rsidRPr="00077EF7">
        <w:rPr>
          <w:vertAlign w:val="superscript"/>
        </w:rPr>
        <w:t>3</w:t>
      </w:r>
      <w:r w:rsidR="0008333B">
        <w:t xml:space="preserve"> . Полагаем, что объёмных источников тепла нет — </w:t>
      </w:r>
      <m:oMath>
        <m:r>
          <w:rPr>
            <w:rFonts w:ascii="Cambria Math" w:hAnsi="Cambria Math"/>
          </w:rPr>
          <m:t>Q=0</m:t>
        </m:r>
      </m:oMath>
    </w:p>
    <w:p w14:paraId="06552CBC" w14:textId="5B36ED81" w:rsidR="0015045B" w:rsidRDefault="0015045B" w:rsidP="0015045B">
      <w:pPr>
        <w:pStyle w:val="a4"/>
        <w:spacing w:before="0" w:beforeAutospacing="0" w:after="0" w:afterAutospacing="0"/>
        <w:ind w:firstLine="397"/>
        <w:jc w:val="both"/>
        <w:rPr>
          <w:color w:val="000000"/>
          <w:shd w:val="clear" w:color="auto" w:fill="FFFFFF"/>
        </w:rPr>
      </w:pPr>
      <w:r>
        <w:lastRenderedPageBreak/>
        <w:t xml:space="preserve">Тепловой поток на границе мишени описывается формулой </w:t>
      </w:r>
      <w:r w:rsidRPr="00465CF7">
        <w:rPr>
          <w:i/>
          <w:lang w:val="en-US"/>
        </w:rPr>
        <w:t>w</w:t>
      </w:r>
      <w:r w:rsidRPr="0015045B">
        <w:rPr>
          <w:i/>
        </w:rPr>
        <w:t xml:space="preserve"> = </w:t>
      </w:r>
      <w:r w:rsidRPr="00465CF7">
        <w:rPr>
          <w:i/>
          <w:lang w:val="en-US"/>
        </w:rPr>
        <w:t>w</w:t>
      </w:r>
      <w:r w:rsidRPr="00465CF7">
        <w:rPr>
          <w:i/>
          <w:vertAlign w:val="subscript"/>
          <w:lang w:val="en-US"/>
        </w:rPr>
        <w:t>e</w:t>
      </w:r>
      <w:r w:rsidRPr="0015045B">
        <w:rPr>
          <w:i/>
        </w:rPr>
        <w:t xml:space="preserve"> + </w:t>
      </w:r>
      <w:proofErr w:type="spellStart"/>
      <w:r w:rsidRPr="00465CF7">
        <w:rPr>
          <w:i/>
          <w:lang w:val="en-US"/>
        </w:rPr>
        <w:t>w</w:t>
      </w:r>
      <w:r w:rsidRPr="00465CF7">
        <w:rPr>
          <w:i/>
          <w:vertAlign w:val="subscript"/>
          <w:lang w:val="en-US"/>
        </w:rPr>
        <w:t>v</w:t>
      </w:r>
      <w:proofErr w:type="spellEnd"/>
      <w:r w:rsidRPr="0015045B">
        <w:rPr>
          <w:i/>
        </w:rPr>
        <w:t xml:space="preserve"> + </w:t>
      </w:r>
      <w:proofErr w:type="spellStart"/>
      <w:r w:rsidRPr="00465CF7">
        <w:rPr>
          <w:i/>
          <w:lang w:val="en-US"/>
        </w:rPr>
        <w:t>w</w:t>
      </w:r>
      <w:r w:rsidRPr="00465CF7">
        <w:rPr>
          <w:i/>
          <w:vertAlign w:val="subscript"/>
          <w:lang w:val="en-US"/>
        </w:rPr>
        <w:t>r</w:t>
      </w:r>
      <w:proofErr w:type="spellEnd"/>
      <w:r>
        <w:t xml:space="preserve">, где </w:t>
      </w:r>
      <w:r w:rsidRPr="0015045B">
        <w:rPr>
          <w:i/>
        </w:rPr>
        <w:t>w</w:t>
      </w:r>
      <w:r w:rsidRPr="0015045B">
        <w:rPr>
          <w:i/>
          <w:vertAlign w:val="subscript"/>
          <w:lang w:val="en-US"/>
        </w:rPr>
        <w:t>e</w:t>
      </w:r>
      <w:r w:rsidRPr="0015045B">
        <w:rPr>
          <w:i/>
        </w:rPr>
        <w:t xml:space="preserve"> </w:t>
      </w:r>
      <w:r>
        <w:t xml:space="preserve">— поток мощности от плазменного </w:t>
      </w:r>
      <w:r w:rsidRPr="00077EF7">
        <w:t>ускорителя</w:t>
      </w:r>
      <w:r w:rsidR="00077EF7">
        <w:t xml:space="preserve">, </w:t>
      </w:r>
      <w:r w:rsidRPr="0015045B">
        <w:rPr>
          <w:i/>
        </w:rPr>
        <w:t>w</w:t>
      </w:r>
      <w:r w:rsidRPr="0015045B">
        <w:rPr>
          <w:i/>
          <w:vertAlign w:val="subscript"/>
          <w:lang w:val="en-US"/>
        </w:rPr>
        <w:t>v</w:t>
      </w:r>
      <w:r>
        <w:t xml:space="preserve"> — поток мощности, уносимый материалом при испарении, Вт/м</w:t>
      </w:r>
      <w:proofErr w:type="gramStart"/>
      <w:r w:rsidRPr="0015045B">
        <w:rPr>
          <w:vertAlign w:val="superscript"/>
        </w:rPr>
        <w:t>2</w:t>
      </w:r>
      <w:r>
        <w:t xml:space="preserve"> ;</w:t>
      </w:r>
      <w:proofErr w:type="gramEnd"/>
      <w:r>
        <w:t xml:space="preserve"> </w:t>
      </w:r>
      <w:r w:rsidRPr="0015045B">
        <w:rPr>
          <w:i/>
        </w:rPr>
        <w:t>w</w:t>
      </w:r>
      <w:r>
        <w:rPr>
          <w:i/>
          <w:vertAlign w:val="subscript"/>
          <w:lang w:val="en-US"/>
        </w:rPr>
        <w:t>r</w:t>
      </w:r>
      <w:r>
        <w:t xml:space="preserve"> — поток мощности излучения с поверхности, Вт/м</w:t>
      </w:r>
      <w:r w:rsidRPr="0015045B">
        <w:rPr>
          <w:vertAlign w:val="superscript"/>
        </w:rPr>
        <w:t>2</w:t>
      </w:r>
      <w:r>
        <w:t xml:space="preserve">. Задняя поверхность мишени считается теплоизолированной. Начальная температура </w:t>
      </w:r>
      <w:r w:rsidR="00D45CD0">
        <w:t xml:space="preserve">всех материалов 300 К, задача решается в одномерной постановке. </w:t>
      </w:r>
      <w:r w:rsidR="00D45CD0" w:rsidRPr="00D45CD0">
        <w:rPr>
          <w:color w:val="000000"/>
          <w:shd w:val="clear" w:color="auto" w:fill="FFFFFF"/>
        </w:rPr>
        <w:t xml:space="preserve">Свойства материала, такие как: теплоемкость, теплопроводность, плотность </w:t>
      </w:r>
      <w:r w:rsidR="00D45CD0">
        <w:rPr>
          <w:color w:val="000000"/>
          <w:shd w:val="clear" w:color="auto" w:fill="FFFFFF"/>
        </w:rPr>
        <w:t xml:space="preserve">в модели зависят от температуры, вблизи фазового перехода зависимости моделировались сглаженной функцией Хэвисайда. Для моделирования самого фазового перехода использовался метод эквивалентной </w:t>
      </w:r>
      <w:proofErr w:type="gramStart"/>
      <w:r w:rsidR="00DF1EFE">
        <w:rPr>
          <w:color w:val="000000"/>
          <w:shd w:val="clear" w:color="auto" w:fill="FFFFFF"/>
        </w:rPr>
        <w:t>теплоемкости</w:t>
      </w:r>
      <w:r w:rsidR="00DF1EFE" w:rsidRPr="00D45CD0">
        <w:rPr>
          <w:color w:val="000000"/>
          <w:shd w:val="clear" w:color="auto" w:fill="FFFFFF"/>
        </w:rPr>
        <w:t>[</w:t>
      </w:r>
      <w:proofErr w:type="gramEnd"/>
      <w:r w:rsidR="00464259">
        <w:rPr>
          <w:color w:val="000000"/>
          <w:shd w:val="clear" w:color="auto" w:fill="FFFFFF"/>
        </w:rPr>
        <w:t>2</w:t>
      </w:r>
      <w:r w:rsidR="00D45CD0" w:rsidRPr="00D45CD0">
        <w:rPr>
          <w:color w:val="000000"/>
          <w:shd w:val="clear" w:color="auto" w:fill="FFFFFF"/>
        </w:rPr>
        <w:t xml:space="preserve">]. </w:t>
      </w:r>
      <w:r w:rsidR="00DF1EFE">
        <w:rPr>
          <w:color w:val="000000"/>
          <w:shd w:val="clear" w:color="auto" w:fill="FFFFFF"/>
        </w:rPr>
        <w:t xml:space="preserve">Также в модели учтены испарение и </w:t>
      </w:r>
      <w:r w:rsidR="00945915">
        <w:rPr>
          <w:color w:val="000000"/>
          <w:shd w:val="clear" w:color="auto" w:fill="FFFFFF"/>
        </w:rPr>
        <w:t>потеря массы</w:t>
      </w:r>
      <w:r w:rsidR="00447E78">
        <w:rPr>
          <w:color w:val="000000"/>
          <w:shd w:val="clear" w:color="auto" w:fill="FFFFFF"/>
        </w:rPr>
        <w:t xml:space="preserve"> </w:t>
      </w:r>
      <w:r w:rsidR="00DF1EFE">
        <w:rPr>
          <w:color w:val="000000"/>
          <w:shd w:val="clear" w:color="auto" w:fill="FFFFFF"/>
        </w:rPr>
        <w:t>вещества. Для описания этого процесса использовалось соотношение Герца-</w:t>
      </w:r>
      <w:proofErr w:type="spellStart"/>
      <w:proofErr w:type="gramStart"/>
      <w:r w:rsidR="00DF1EFE">
        <w:rPr>
          <w:color w:val="000000"/>
          <w:shd w:val="clear" w:color="auto" w:fill="FFFFFF"/>
        </w:rPr>
        <w:t>Ленгмюра</w:t>
      </w:r>
      <w:proofErr w:type="spellEnd"/>
      <w:r w:rsidR="008F78E7">
        <w:rPr>
          <w:color w:val="000000"/>
          <w:shd w:val="clear" w:color="auto" w:fill="FFFFFF"/>
        </w:rPr>
        <w:t>[</w:t>
      </w:r>
      <w:proofErr w:type="gramEnd"/>
      <w:r w:rsidR="008F78E7">
        <w:rPr>
          <w:color w:val="000000"/>
          <w:shd w:val="clear" w:color="auto" w:fill="FFFFFF"/>
        </w:rPr>
        <w:t>4</w:t>
      </w:r>
      <w:bookmarkStart w:id="0" w:name="_GoBack"/>
      <w:bookmarkEnd w:id="0"/>
      <w:r w:rsidR="00DF1EFE" w:rsidRPr="00006C89">
        <w:rPr>
          <w:color w:val="000000"/>
          <w:shd w:val="clear" w:color="auto" w:fill="FFFFFF"/>
        </w:rPr>
        <w:t>]</w:t>
      </w:r>
      <w:r w:rsidR="00DF1EFE">
        <w:rPr>
          <w:color w:val="000000"/>
          <w:shd w:val="clear" w:color="auto" w:fill="FFFFFF"/>
        </w:rPr>
        <w:t>.</w:t>
      </w:r>
    </w:p>
    <w:p w14:paraId="0CA1C958" w14:textId="588E970F" w:rsidR="00DF1EFE" w:rsidRDefault="00945915" w:rsidP="0015045B">
      <w:pPr>
        <w:pStyle w:val="a4"/>
        <w:spacing w:before="0" w:beforeAutospacing="0" w:after="0" w:afterAutospacing="0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DF1EFE">
        <w:rPr>
          <w:color w:val="000000"/>
          <w:shd w:val="clear" w:color="auto" w:fill="FFFFFF"/>
        </w:rPr>
        <w:t>роведено моделирование в широком диапазоне тепловых нагрузок (по фактору теплового воздействия от 9 до 185 МДж/м</w:t>
      </w:r>
      <w:r w:rsidR="00DF1EFE">
        <w:rPr>
          <w:color w:val="000000"/>
          <w:shd w:val="clear" w:color="auto" w:fill="FFFFFF"/>
          <w:vertAlign w:val="superscript"/>
        </w:rPr>
        <w:t>2</w:t>
      </w:r>
      <w:r w:rsidR="00DF1EFE">
        <w:rPr>
          <w:color w:val="000000"/>
          <w:shd w:val="clear" w:color="auto" w:fill="FFFFFF"/>
        </w:rPr>
        <w:t>с</w:t>
      </w:r>
      <w:r w:rsidR="00DF1EFE">
        <w:rPr>
          <w:color w:val="000000"/>
          <w:shd w:val="clear" w:color="auto" w:fill="FFFFFF"/>
          <w:vertAlign w:val="superscript"/>
        </w:rPr>
        <w:t>0.5</w:t>
      </w:r>
      <w:r w:rsidR="00DF1EFE">
        <w:rPr>
          <w:color w:val="000000"/>
          <w:shd w:val="clear" w:color="auto" w:fill="FFFFFF"/>
        </w:rPr>
        <w:t>) при разных длительностях импульса (1, 2.2, 300 мс)</w:t>
      </w:r>
      <w:r w:rsidR="00D90600">
        <w:rPr>
          <w:color w:val="000000"/>
          <w:shd w:val="clear" w:color="auto" w:fill="FFFFFF"/>
        </w:rPr>
        <w:t xml:space="preserve"> и разных толщинах покрытия (50 мкм и 1 мм)</w:t>
      </w:r>
      <w:r w:rsidR="00DF1EFE">
        <w:rPr>
          <w:color w:val="000000"/>
          <w:shd w:val="clear" w:color="auto" w:fill="FFFFFF"/>
        </w:rPr>
        <w:t>. В результате были получены значения максимальной температуры на поверхности карбида бора и максимальной температуры вольфрама</w:t>
      </w:r>
      <w:r>
        <w:rPr>
          <w:color w:val="000000"/>
          <w:shd w:val="clear" w:color="auto" w:fill="FFFFFF"/>
        </w:rPr>
        <w:t xml:space="preserve"> при разных тепловых нагрузках</w:t>
      </w:r>
      <w:proofErr w:type="gramStart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С</w:t>
      </w:r>
      <w:r w:rsidR="00DF1EFE">
        <w:rPr>
          <w:color w:val="000000"/>
          <w:shd w:val="clear" w:color="auto" w:fill="FFFFFF"/>
        </w:rPr>
        <w:t xml:space="preserve">деланы выводы о защитных </w:t>
      </w:r>
      <w:r w:rsidR="00D90600">
        <w:rPr>
          <w:color w:val="000000"/>
          <w:shd w:val="clear" w:color="auto" w:fill="FFFFFF"/>
        </w:rPr>
        <w:t>свойствах покрытия карбида бора и проведено сравнение этих свойств для разных толщин</w:t>
      </w:r>
      <w:r w:rsidR="00FC0627">
        <w:rPr>
          <w:color w:val="000000"/>
          <w:shd w:val="clear" w:color="auto" w:fill="FFFFFF"/>
        </w:rPr>
        <w:t xml:space="preserve"> </w:t>
      </w:r>
      <w:r w:rsidR="00FC0627" w:rsidRPr="00945915">
        <w:rPr>
          <w:color w:val="000000"/>
          <w:shd w:val="clear" w:color="auto" w:fill="FFFFFF"/>
        </w:rPr>
        <w:t>покрытия</w:t>
      </w:r>
      <w:r w:rsidR="00D9060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П</w:t>
      </w:r>
      <w:r w:rsidR="00AC28A7">
        <w:rPr>
          <w:color w:val="000000"/>
          <w:shd w:val="clear" w:color="auto" w:fill="FFFFFF"/>
        </w:rPr>
        <w:t>олучено распределение температуры вглубь образца, по которому оценена глубина проникновения тепловой волны за время плазменного во</w:t>
      </w:r>
      <w:r>
        <w:rPr>
          <w:color w:val="000000"/>
          <w:shd w:val="clear" w:color="auto" w:fill="FFFFFF"/>
        </w:rPr>
        <w:t>здействия. Кроме того,</w:t>
      </w:r>
      <w:r w:rsidR="00AC28A7">
        <w:rPr>
          <w:color w:val="000000"/>
          <w:shd w:val="clear" w:color="auto" w:fill="FFFFFF"/>
        </w:rPr>
        <w:t xml:space="preserve"> получены значения толщины испаренного слоя при разных тепловых воздействиях</w:t>
      </w:r>
      <w:r w:rsidR="00350335">
        <w:rPr>
          <w:color w:val="000000"/>
          <w:shd w:val="clear" w:color="auto" w:fill="FFFFFF"/>
        </w:rPr>
        <w:t>.</w:t>
      </w:r>
      <w:r w:rsidR="00AC28A7">
        <w:rPr>
          <w:color w:val="000000"/>
          <w:shd w:val="clear" w:color="auto" w:fill="FFFFFF"/>
        </w:rPr>
        <w:t xml:space="preserve"> </w:t>
      </w:r>
      <w:r w:rsidRPr="00945915">
        <w:rPr>
          <w:shd w:val="clear" w:color="auto" w:fill="FFFFFF"/>
        </w:rPr>
        <w:t>Н</w:t>
      </w:r>
      <w:r w:rsidR="00750FD6" w:rsidRPr="00945915">
        <w:rPr>
          <w:shd w:val="clear" w:color="auto" w:fill="FFFFFF"/>
        </w:rPr>
        <w:t>а основе этих</w:t>
      </w:r>
      <w:r w:rsidR="00750FD6" w:rsidRPr="00750FD6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данных </w:t>
      </w:r>
      <w:r w:rsidR="00350335">
        <w:rPr>
          <w:color w:val="000000"/>
          <w:shd w:val="clear" w:color="auto" w:fill="FFFFFF"/>
        </w:rPr>
        <w:t>сделаны выводы о прочности и ресурсе</w:t>
      </w:r>
      <w:r w:rsidR="00615B6C">
        <w:rPr>
          <w:color w:val="000000"/>
          <w:shd w:val="clear" w:color="auto" w:fill="FFFFFF"/>
        </w:rPr>
        <w:t xml:space="preserve"> </w:t>
      </w:r>
      <w:r w:rsidR="00AC28A7">
        <w:rPr>
          <w:color w:val="000000"/>
          <w:shd w:val="clear" w:color="auto" w:fill="FFFFFF"/>
        </w:rPr>
        <w:t>покрытия.</w:t>
      </w:r>
    </w:p>
    <w:p w14:paraId="35B5EC6B" w14:textId="366FC623" w:rsidR="00AC28A7" w:rsidRDefault="00AC28A7" w:rsidP="0015045B">
      <w:pPr>
        <w:pStyle w:val="a4"/>
        <w:spacing w:before="0" w:beforeAutospacing="0" w:after="0" w:afterAutospacing="0"/>
        <w:ind w:firstLine="397"/>
        <w:jc w:val="both"/>
        <w:rPr>
          <w:color w:val="000000"/>
          <w:shd w:val="clear" w:color="auto" w:fill="FFFFFF"/>
        </w:rPr>
      </w:pPr>
      <w:r w:rsidRPr="00350335">
        <w:rPr>
          <w:color w:val="000000"/>
          <w:shd w:val="clear" w:color="auto" w:fill="FFFFFF"/>
        </w:rPr>
        <w:t>В дальнейшем планируется проведение эксперимента на установке КСПУ (ТРИНИТИ).</w:t>
      </w:r>
      <w:r w:rsidR="00350335">
        <w:rPr>
          <w:color w:val="000000"/>
          <w:shd w:val="clear" w:color="auto" w:fill="FFFFFF"/>
        </w:rPr>
        <w:t xml:space="preserve"> Результаты моделирования помогут выбрать режимы облучения и определить программу испытаний. Кроме того, полученные экспериментальные данные помогут верифицировать модель.</w:t>
      </w:r>
    </w:p>
    <w:p w14:paraId="1ABC3A8A" w14:textId="27F7DA4F" w:rsidR="008F78E7" w:rsidRDefault="00EF6E09" w:rsidP="008F78E7">
      <w:pPr>
        <w:pStyle w:val="a4"/>
        <w:spacing w:before="0" w:beforeAutospacing="0" w:after="0" w:afterAutospacing="0"/>
        <w:ind w:firstLine="397"/>
        <w:jc w:val="center"/>
        <w:rPr>
          <w:b/>
        </w:rPr>
      </w:pPr>
      <w:r>
        <w:rPr>
          <w:b/>
        </w:rPr>
        <w:t>Литература</w:t>
      </w:r>
    </w:p>
    <w:p w14:paraId="1C368E50" w14:textId="0F42DDA2" w:rsidR="008F78E7" w:rsidRPr="008F78E7" w:rsidRDefault="008F78E7" w:rsidP="008F78E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78E7">
        <w:rPr>
          <w:rFonts w:ascii="Times New Roman" w:hAnsi="Times New Roman" w:cs="Times New Roman"/>
          <w:iCs/>
          <w:sz w:val="24"/>
          <w:szCs w:val="24"/>
        </w:rPr>
        <w:t>Позняк</w:t>
      </w:r>
      <w:r w:rsidRPr="008F78E7">
        <w:rPr>
          <w:rFonts w:ascii="Times New Roman" w:hAnsi="Times New Roman" w:cs="Times New Roman"/>
          <w:sz w:val="24"/>
          <w:szCs w:val="24"/>
        </w:rPr>
        <w:t xml:space="preserve"> </w:t>
      </w:r>
      <w:r w:rsidRPr="008F78E7">
        <w:rPr>
          <w:rFonts w:ascii="Times New Roman" w:hAnsi="Times New Roman" w:cs="Times New Roman"/>
          <w:iCs/>
          <w:sz w:val="24"/>
          <w:szCs w:val="24"/>
        </w:rPr>
        <w:t xml:space="preserve">И.М. </w:t>
      </w:r>
      <w:r>
        <w:rPr>
          <w:rFonts w:ascii="Times New Roman" w:hAnsi="Times New Roman" w:cs="Times New Roman"/>
          <w:sz w:val="24"/>
          <w:szCs w:val="24"/>
        </w:rPr>
        <w:t>[и др</w:t>
      </w:r>
      <w:r w:rsidRPr="008F78E7">
        <w:rPr>
          <w:rFonts w:ascii="Times New Roman" w:hAnsi="Times New Roman" w:cs="Times New Roman"/>
          <w:sz w:val="24"/>
          <w:szCs w:val="24"/>
        </w:rPr>
        <w:t>.]. Поведение вольфрама с покрытием из карбида бора при воздействии интенсивных плазменных потоков// ВАНТ Сер. Термоядерный синтез.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78E7">
        <w:rPr>
          <w:rFonts w:ascii="Times New Roman" w:hAnsi="Times New Roman" w:cs="Times New Roman"/>
          <w:sz w:val="24"/>
          <w:szCs w:val="24"/>
        </w:rPr>
        <w:t>Т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№1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78E7">
        <w:rPr>
          <w:rFonts w:ascii="Times New Roman" w:hAnsi="Times New Roman" w:cs="Times New Roman"/>
          <w:sz w:val="24"/>
          <w:szCs w:val="24"/>
        </w:rPr>
        <w:t>С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99-110</w:t>
      </w:r>
      <w:r w:rsidRPr="008F78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167093" w14:textId="6A7EC41D" w:rsidR="00EF6E09" w:rsidRPr="00350335" w:rsidRDefault="00EF6E09" w:rsidP="00EF6E0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6E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Hu H.</w:t>
      </w:r>
      <w:r w:rsidRPr="00EF6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Argyropoulos A.S. Mathematical modelling of solidification and melting: a review. — </w:t>
      </w:r>
      <w:r w:rsidRPr="00EF6E0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Modelling Simul. </w:t>
      </w:r>
      <w:r w:rsidRPr="0035033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Mater. Sci. Eng.</w:t>
      </w:r>
      <w:r w:rsidRPr="003503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1996, vol. 4, p. 371—396.</w:t>
      </w:r>
    </w:p>
    <w:p w14:paraId="69D6452E" w14:textId="77777777" w:rsidR="00EF6E09" w:rsidRPr="00EF6E09" w:rsidRDefault="00EF6E09" w:rsidP="00EF6E0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6E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Pitts R.A.</w:t>
      </w:r>
      <w:r w:rsidRPr="00EF6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Coad J.P., Coster D.P. </w:t>
      </w:r>
      <w:proofErr w:type="gramStart"/>
      <w:r w:rsidRPr="00EF6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 al.</w:t>
      </w:r>
      <w:proofErr w:type="gramEnd"/>
      <w:r w:rsidRPr="00EF6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Material erosion and migration in tokamaks. — </w:t>
      </w:r>
      <w:r w:rsidRPr="00EF6E0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Plasma Physics and Controlled Fusion</w:t>
      </w:r>
      <w:r w:rsidRPr="00EF6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2005, vol. 47, № 1 2B, p. B303—B322.</w:t>
      </w:r>
    </w:p>
    <w:p w14:paraId="2A15C7B1" w14:textId="77777777" w:rsidR="00EF6E09" w:rsidRPr="00EF6E09" w:rsidRDefault="00EF6E09" w:rsidP="00EF6E0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EF6E09">
        <w:rPr>
          <w:bCs/>
          <w:lang w:val="en-US"/>
        </w:rPr>
        <w:t>Samokhin</w:t>
      </w:r>
      <w:proofErr w:type="spellEnd"/>
      <w:r w:rsidRPr="00EF6E09">
        <w:rPr>
          <w:bCs/>
          <w:lang w:val="en-US"/>
        </w:rPr>
        <w:t xml:space="preserve"> A.A.</w:t>
      </w:r>
      <w:r w:rsidRPr="00EF6E09">
        <w:rPr>
          <w:lang w:val="en-US"/>
        </w:rPr>
        <w:t xml:space="preserve"> Effect of Laser Radiation on Absorbing Condensed Matter ed V.B. Fedorov // New York: Nova Science Publishers, 1990.</w:t>
      </w:r>
    </w:p>
    <w:sectPr w:rsidR="00EF6E09" w:rsidRPr="00EF6E09" w:rsidSect="0083365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0793"/>
    <w:multiLevelType w:val="hybridMultilevel"/>
    <w:tmpl w:val="BE7E7AA8"/>
    <w:lvl w:ilvl="0" w:tplc="02F60B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006D"/>
    <w:multiLevelType w:val="hybridMultilevel"/>
    <w:tmpl w:val="12FC9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A64E3"/>
    <w:multiLevelType w:val="hybridMultilevel"/>
    <w:tmpl w:val="312E3874"/>
    <w:lvl w:ilvl="0" w:tplc="23A000D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51"/>
    <w:rsid w:val="00006C89"/>
    <w:rsid w:val="00007987"/>
    <w:rsid w:val="00040ED3"/>
    <w:rsid w:val="00042102"/>
    <w:rsid w:val="00067C05"/>
    <w:rsid w:val="000707FD"/>
    <w:rsid w:val="00077EF7"/>
    <w:rsid w:val="00082A26"/>
    <w:rsid w:val="0008333B"/>
    <w:rsid w:val="00094BA9"/>
    <w:rsid w:val="00096319"/>
    <w:rsid w:val="000B722B"/>
    <w:rsid w:val="00101CAC"/>
    <w:rsid w:val="00103CC7"/>
    <w:rsid w:val="00125B38"/>
    <w:rsid w:val="001274F8"/>
    <w:rsid w:val="00135DC1"/>
    <w:rsid w:val="00141FDB"/>
    <w:rsid w:val="00142D1E"/>
    <w:rsid w:val="00146B95"/>
    <w:rsid w:val="00147A50"/>
    <w:rsid w:val="0015045B"/>
    <w:rsid w:val="00151D67"/>
    <w:rsid w:val="0015302C"/>
    <w:rsid w:val="001658DA"/>
    <w:rsid w:val="00187B44"/>
    <w:rsid w:val="001934B9"/>
    <w:rsid w:val="001947E4"/>
    <w:rsid w:val="001A430D"/>
    <w:rsid w:val="001B1F1F"/>
    <w:rsid w:val="001C0780"/>
    <w:rsid w:val="001D156D"/>
    <w:rsid w:val="001D5B0E"/>
    <w:rsid w:val="001E113C"/>
    <w:rsid w:val="002242B6"/>
    <w:rsid w:val="00225000"/>
    <w:rsid w:val="00225C92"/>
    <w:rsid w:val="00225DDE"/>
    <w:rsid w:val="0025299F"/>
    <w:rsid w:val="00254073"/>
    <w:rsid w:val="00255969"/>
    <w:rsid w:val="0026514E"/>
    <w:rsid w:val="0028379D"/>
    <w:rsid w:val="002911C0"/>
    <w:rsid w:val="0029611A"/>
    <w:rsid w:val="002A2A68"/>
    <w:rsid w:val="002A3E12"/>
    <w:rsid w:val="002B3150"/>
    <w:rsid w:val="002B615F"/>
    <w:rsid w:val="002C2A1C"/>
    <w:rsid w:val="002E1055"/>
    <w:rsid w:val="002E4AA8"/>
    <w:rsid w:val="002E69E5"/>
    <w:rsid w:val="002F0F5C"/>
    <w:rsid w:val="002F3662"/>
    <w:rsid w:val="003217FC"/>
    <w:rsid w:val="00326D6A"/>
    <w:rsid w:val="00341A90"/>
    <w:rsid w:val="00343261"/>
    <w:rsid w:val="00350335"/>
    <w:rsid w:val="003631EA"/>
    <w:rsid w:val="00371F84"/>
    <w:rsid w:val="003759C7"/>
    <w:rsid w:val="0038141B"/>
    <w:rsid w:val="003D4C7B"/>
    <w:rsid w:val="003E4F1D"/>
    <w:rsid w:val="003F37FB"/>
    <w:rsid w:val="004019FF"/>
    <w:rsid w:val="0041213E"/>
    <w:rsid w:val="00421715"/>
    <w:rsid w:val="00432B7C"/>
    <w:rsid w:val="00433AB9"/>
    <w:rsid w:val="00447E78"/>
    <w:rsid w:val="004547A6"/>
    <w:rsid w:val="00464259"/>
    <w:rsid w:val="00476CD9"/>
    <w:rsid w:val="00476CE1"/>
    <w:rsid w:val="00496BDB"/>
    <w:rsid w:val="004B195E"/>
    <w:rsid w:val="004E4E9E"/>
    <w:rsid w:val="004F6A2A"/>
    <w:rsid w:val="004F76D4"/>
    <w:rsid w:val="005033B5"/>
    <w:rsid w:val="0051170B"/>
    <w:rsid w:val="00525467"/>
    <w:rsid w:val="00546868"/>
    <w:rsid w:val="0056440C"/>
    <w:rsid w:val="005C0CA6"/>
    <w:rsid w:val="005D0924"/>
    <w:rsid w:val="005E668D"/>
    <w:rsid w:val="00607AC5"/>
    <w:rsid w:val="00612435"/>
    <w:rsid w:val="00615B6C"/>
    <w:rsid w:val="00621572"/>
    <w:rsid w:val="006228C7"/>
    <w:rsid w:val="00631241"/>
    <w:rsid w:val="00631B2E"/>
    <w:rsid w:val="00644F8F"/>
    <w:rsid w:val="00662272"/>
    <w:rsid w:val="00672CA2"/>
    <w:rsid w:val="00673245"/>
    <w:rsid w:val="00680DC6"/>
    <w:rsid w:val="00684D34"/>
    <w:rsid w:val="006B6C09"/>
    <w:rsid w:val="006C78EC"/>
    <w:rsid w:val="006E6B36"/>
    <w:rsid w:val="006F0183"/>
    <w:rsid w:val="0074076C"/>
    <w:rsid w:val="00745346"/>
    <w:rsid w:val="00750FD6"/>
    <w:rsid w:val="007872A6"/>
    <w:rsid w:val="007A674E"/>
    <w:rsid w:val="007B6A20"/>
    <w:rsid w:val="007C1799"/>
    <w:rsid w:val="007C1BD6"/>
    <w:rsid w:val="007C6A42"/>
    <w:rsid w:val="007F3D73"/>
    <w:rsid w:val="00801E2F"/>
    <w:rsid w:val="00833651"/>
    <w:rsid w:val="00855860"/>
    <w:rsid w:val="00874445"/>
    <w:rsid w:val="00884A9D"/>
    <w:rsid w:val="00886CAE"/>
    <w:rsid w:val="00891D46"/>
    <w:rsid w:val="008B468B"/>
    <w:rsid w:val="008D140B"/>
    <w:rsid w:val="008D55A0"/>
    <w:rsid w:val="008D6EA8"/>
    <w:rsid w:val="008E3882"/>
    <w:rsid w:val="008F78E7"/>
    <w:rsid w:val="00905A98"/>
    <w:rsid w:val="00934636"/>
    <w:rsid w:val="00937D51"/>
    <w:rsid w:val="00945915"/>
    <w:rsid w:val="00965931"/>
    <w:rsid w:val="00970154"/>
    <w:rsid w:val="00987F5A"/>
    <w:rsid w:val="009B198C"/>
    <w:rsid w:val="009E4F61"/>
    <w:rsid w:val="009E7CC7"/>
    <w:rsid w:val="00A02A66"/>
    <w:rsid w:val="00A07E17"/>
    <w:rsid w:val="00A36831"/>
    <w:rsid w:val="00A509AC"/>
    <w:rsid w:val="00A578DD"/>
    <w:rsid w:val="00A721B1"/>
    <w:rsid w:val="00AA0888"/>
    <w:rsid w:val="00AC28A7"/>
    <w:rsid w:val="00AF323B"/>
    <w:rsid w:val="00AF64D7"/>
    <w:rsid w:val="00B0586B"/>
    <w:rsid w:val="00B17AB0"/>
    <w:rsid w:val="00B17B51"/>
    <w:rsid w:val="00B415B3"/>
    <w:rsid w:val="00B4736F"/>
    <w:rsid w:val="00B525DE"/>
    <w:rsid w:val="00B5298C"/>
    <w:rsid w:val="00B622D9"/>
    <w:rsid w:val="00B70960"/>
    <w:rsid w:val="00B7370B"/>
    <w:rsid w:val="00B818CA"/>
    <w:rsid w:val="00BA5705"/>
    <w:rsid w:val="00BD022B"/>
    <w:rsid w:val="00BD462B"/>
    <w:rsid w:val="00BE6A7B"/>
    <w:rsid w:val="00C06D0F"/>
    <w:rsid w:val="00C27BF1"/>
    <w:rsid w:val="00C6074D"/>
    <w:rsid w:val="00C73287"/>
    <w:rsid w:val="00C83894"/>
    <w:rsid w:val="00CB5611"/>
    <w:rsid w:val="00CB6E25"/>
    <w:rsid w:val="00CD5AF8"/>
    <w:rsid w:val="00CE1E24"/>
    <w:rsid w:val="00CF5FD3"/>
    <w:rsid w:val="00D17844"/>
    <w:rsid w:val="00D45CD0"/>
    <w:rsid w:val="00D86418"/>
    <w:rsid w:val="00D90600"/>
    <w:rsid w:val="00D90945"/>
    <w:rsid w:val="00DA19AE"/>
    <w:rsid w:val="00DB1A68"/>
    <w:rsid w:val="00DC2F65"/>
    <w:rsid w:val="00DD5AA1"/>
    <w:rsid w:val="00DF1E2A"/>
    <w:rsid w:val="00DF1EFE"/>
    <w:rsid w:val="00E11A10"/>
    <w:rsid w:val="00E11FE7"/>
    <w:rsid w:val="00E33657"/>
    <w:rsid w:val="00E61494"/>
    <w:rsid w:val="00E66A4E"/>
    <w:rsid w:val="00E67C54"/>
    <w:rsid w:val="00E73E7D"/>
    <w:rsid w:val="00E777FF"/>
    <w:rsid w:val="00E94884"/>
    <w:rsid w:val="00EA6DD7"/>
    <w:rsid w:val="00EB5671"/>
    <w:rsid w:val="00ED4ACA"/>
    <w:rsid w:val="00EE5BAB"/>
    <w:rsid w:val="00EF6E09"/>
    <w:rsid w:val="00F05450"/>
    <w:rsid w:val="00F144EF"/>
    <w:rsid w:val="00F405E6"/>
    <w:rsid w:val="00F46A80"/>
    <w:rsid w:val="00F51CD3"/>
    <w:rsid w:val="00F71C28"/>
    <w:rsid w:val="00F71D2D"/>
    <w:rsid w:val="00F9343C"/>
    <w:rsid w:val="00FB2CBE"/>
    <w:rsid w:val="00FC0627"/>
    <w:rsid w:val="00FC20B1"/>
    <w:rsid w:val="00FC7F31"/>
    <w:rsid w:val="00FE1D28"/>
    <w:rsid w:val="00FE4511"/>
    <w:rsid w:val="00FE518A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5C8B"/>
  <w15:chartTrackingRefBased/>
  <w15:docId w15:val="{5719E477-06BD-456E-A198-97096981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F8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F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15045B"/>
    <w:rPr>
      <w:rFonts w:ascii="Times New Roman" w:eastAsia="Calibri" w:hAnsi="Times New Roman" w:cs="Times New Roman"/>
    </w:rPr>
  </w:style>
  <w:style w:type="character" w:styleId="a5">
    <w:name w:val="Strong"/>
    <w:basedOn w:val="a0"/>
    <w:uiPriority w:val="22"/>
    <w:qFormat/>
    <w:rsid w:val="00EF6E09"/>
    <w:rPr>
      <w:b/>
      <w:bCs/>
    </w:rPr>
  </w:style>
  <w:style w:type="character" w:styleId="a6">
    <w:name w:val="Emphasis"/>
    <w:basedOn w:val="a0"/>
    <w:uiPriority w:val="20"/>
    <w:qFormat/>
    <w:rsid w:val="00EF6E09"/>
    <w:rPr>
      <w:i/>
      <w:iCs/>
    </w:rPr>
  </w:style>
  <w:style w:type="paragraph" w:styleId="a7">
    <w:name w:val="List Paragraph"/>
    <w:basedOn w:val="a"/>
    <w:uiPriority w:val="34"/>
    <w:qFormat/>
    <w:rsid w:val="00EF6E0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077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391</cp:revision>
  <dcterms:created xsi:type="dcterms:W3CDTF">2025-03-06T10:49:00Z</dcterms:created>
  <dcterms:modified xsi:type="dcterms:W3CDTF">2025-03-08T09:45:00Z</dcterms:modified>
</cp:coreProperties>
</file>