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5"/>
        <w:contextualSpacing w:val="0"/>
        <w:ind w:firstLine="426"/>
        <w:jc w:val="center"/>
        <w:rPr>
          <w:b/>
          <w:bCs/>
          <w:color w:val="000000"/>
          <w:highlight w:val="none"/>
          <w:shd w:val="clear" w:color="auto" w:fill="ffffff"/>
        </w:rPr>
        <w:suppressLineNumbers w:val="0"/>
      </w:pPr>
      <w:r>
        <w:rPr>
          <w:b/>
          <w:bCs/>
          <w:color w:val="000000"/>
          <w:shd w:val="clear" w:color="auto" w:fill="ffffff"/>
        </w:rPr>
        <w:t xml:space="preserve">Слабый внутренни</w:t>
      </w:r>
      <w:r>
        <w:rPr>
          <w:b/>
          <w:bCs/>
          <w:color w:val="000000"/>
          <w:shd w:val="clear" w:color="auto" w:fill="ffffff"/>
        </w:rPr>
        <w:t xml:space="preserve">й слой в периодической задаче реакция-диффузия-адвекция </w:t>
      </w:r>
      <w:r>
        <w:rPr>
          <w:b/>
          <w:bCs/>
          <w:color w:val="000000"/>
          <w:shd w:val="clear" w:color="auto" w:fill="ffffff"/>
        </w:rPr>
        <w:t xml:space="preserve">в случае разрыва реакции</w:t>
      </w:r>
      <w:r>
        <w:rPr>
          <w:b/>
          <w:bCs/>
          <w:color w:val="000000"/>
          <w:highlight w:val="none"/>
          <w:shd w:val="clear" w:color="auto" w:fill="ffffff"/>
        </w:rPr>
      </w:r>
      <w:r>
        <w:rPr>
          <w:b/>
          <w:bCs/>
          <w:color w:val="000000"/>
          <w:highlight w:val="none"/>
          <w:shd w:val="clear" w:color="auto" w:fill="ffffff"/>
        </w:rPr>
      </w:r>
      <w:r>
        <w:rPr>
          <w:b/>
          <w:bCs/>
          <w:color w:val="000000"/>
          <w:highlight w:val="none"/>
          <w:shd w:val="clear" w:color="auto" w:fill="ffffff"/>
        </w:rPr>
      </w:r>
      <w:r>
        <w:rPr>
          <w:b/>
          <w:bCs/>
          <w:color w:val="000000"/>
          <w:highlight w:val="none"/>
          <w:shd w:val="clear" w:color="auto" w:fill="ffffff"/>
        </w:rPr>
      </w:r>
    </w:p>
    <w:p>
      <w:pPr>
        <w:pStyle w:val="1_809"/>
        <w:contextualSpacing w:val="0"/>
        <w:jc w:val="center"/>
        <w:rPr>
          <w:b/>
          <w:bCs/>
          <w:i/>
        </w:rPr>
        <w:suppressLineNumbers w:val="0"/>
      </w:pPr>
      <w:r>
        <w:rPr>
          <w:b/>
          <w:bCs/>
          <w:i/>
          <w:iCs/>
        </w:rPr>
        <w:t xml:space="preserve">Никулин Е.И.</w:t>
      </w:r>
      <w:r>
        <w:rPr>
          <w:b/>
          <w:bCs/>
          <w:i/>
          <w:iCs/>
          <w:vertAlign w:val="superscript"/>
        </w:rPr>
        <w:t xml:space="preserve">1</w:t>
      </w:r>
      <w:r>
        <w:rPr>
          <w:b/>
          <w:bCs/>
          <w:i/>
          <w:iCs/>
        </w:rPr>
        <w:t xml:space="preserve">, Карамышев А.В.</w:t>
      </w:r>
      <w:r>
        <w:rPr>
          <w:b/>
          <w:bCs/>
          <w:i/>
          <w:iCs/>
          <w:vertAlign w:val="superscript"/>
        </w:rPr>
        <w:t xml:space="preserve">2</w:t>
      </w:r>
      <w:r>
        <w:rPr>
          <w:b/>
          <w:bCs/>
          <w:i/>
          <w:iCs/>
        </w:rPr>
      </w:r>
      <w:r>
        <w:rPr>
          <w:b/>
          <w:bCs/>
          <w:i/>
          <w:iCs/>
        </w:rPr>
      </w:r>
    </w:p>
    <w:p>
      <w:pPr>
        <w:pStyle w:val="1_809"/>
        <w:contextualSpacing w:val="0"/>
        <w:ind w:firstLine="425"/>
        <w:jc w:val="center"/>
        <w:rPr>
          <w:i/>
        </w:rPr>
        <w:suppressLineNumbers w:val="0"/>
      </w:pPr>
      <w:r>
        <w:rPr>
          <w:i/>
        </w:rPr>
        <w:t xml:space="preserve">1)</w:t>
      </w:r>
      <w:r>
        <w:rPr>
          <w:i/>
          <w:lang w:val="en-US"/>
        </w:rPr>
        <w:t xml:space="preserve"> </w:t>
      </w:r>
      <w:r>
        <w:rPr>
          <w:i/>
        </w:rPr>
        <w:t xml:space="preserve">МГУ им. М.В. Ломоносова, физический факультет, кафедра математики, </w:t>
      </w:r>
      <w:r>
        <w:rPr>
          <w:i/>
          <w:lang w:val="de-DE"/>
        </w:rPr>
        <w:t xml:space="preserve">e</w:t>
      </w:r>
      <w:r>
        <w:rPr>
          <w:i/>
        </w:rPr>
        <w:t xml:space="preserve">-</w:t>
      </w:r>
      <w:r>
        <w:rPr>
          <w:i/>
          <w:lang w:val="de-DE"/>
        </w:rPr>
        <w:t xml:space="preserve">mail</w:t>
      </w:r>
      <w:r>
        <w:rPr>
          <w:i/>
        </w:rPr>
        <w:t xml:space="preserve">: </w:t>
      </w:r>
      <w:r>
        <w:rPr>
          <w:i/>
        </w:rPr>
        <w:t xml:space="preserve">nikulin@physics.msu.ru</w:t>
      </w:r>
      <w:r>
        <w:rPr>
          <w:i/>
        </w:rPr>
      </w:r>
      <w:r>
        <w:rPr>
          <w:i/>
        </w:rPr>
      </w:r>
    </w:p>
    <w:p>
      <w:pPr>
        <w:pStyle w:val="1_809"/>
        <w:contextualSpacing w:val="0"/>
        <w:ind w:firstLine="425"/>
        <w:jc w:val="center"/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  <w:suppressLineNumbers w:val="0"/>
      </w:pPr>
      <w:r>
        <w:t xml:space="preserve">2) </w:t>
      </w:r>
      <w:r>
        <w:rPr>
          <w:i/>
        </w:rPr>
        <w:t xml:space="preserve">МГУ им. М.В. Ломоносова, физический факультет, кафедра математики, </w:t>
      </w:r>
      <w:r>
        <w:rPr>
          <w:i/>
          <w:lang w:val="de-DE"/>
        </w:rPr>
        <w:t xml:space="preserve">e</w:t>
      </w:r>
      <w:r>
        <w:rPr>
          <w:i/>
        </w:rPr>
        <w:t xml:space="preserve">-</w:t>
      </w:r>
      <w:r>
        <w:rPr>
          <w:i/>
          <w:lang w:val="de-DE"/>
        </w:rPr>
        <w:t xml:space="preserve">mail</w:t>
      </w:r>
      <w:r>
        <w:rPr>
          <w:i/>
        </w:rPr>
        <w:t xml:space="preserve">: </w:t>
      </w:r>
      <w:r>
        <w:rPr>
          <w:rFonts w:ascii="Times New Roman" w:hAnsi="Times New Roman" w:eastAsia="Times New Roman" w:cs="Times New Roman"/>
          <w:i/>
          <w:iCs/>
          <w:color w:val="000000" w:themeColor="text1"/>
          <w:sz w:val="24"/>
          <w:szCs w:val="24"/>
          <w:highlight w:val="white"/>
        </w:rPr>
        <w:t xml:space="preserve">karamyshevav@my.msu.ru</w:t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  <w:r>
        <w:rPr>
          <w:rStyle w:val="660"/>
          <w:color w:val="000000"/>
          <w:shd w:val="clear" w:color="auto" w:fill="ffffff"/>
        </w:rPr>
      </w:r>
      <w:r>
        <w:rPr>
          <w:rStyle w:val="660"/>
          <w:color w:val="000000"/>
          <w:shd w:val="clear" w:color="auto" w:fill="ffffff"/>
        </w:rPr>
      </w:r>
      <w:r>
        <w:rPr>
          <w:rFonts w:ascii="Times New Roman" w:hAnsi="Times New Roman" w:cs="Times New Roman"/>
          <w:i/>
          <w:iCs/>
          <w:color w:val="000000" w:themeColor="text1"/>
          <w:sz w:val="24"/>
          <w:szCs w:val="24"/>
        </w:rPr>
      </w:r>
    </w:p>
    <w:p>
      <w:pPr>
        <w:pStyle w:val="1_1398"/>
        <w:jc w:val="left"/>
        <w:rPr>
          <w:bCs w:val="0"/>
          <w:i w:val="0"/>
          <w:highlight w:val="none"/>
        </w:rPr>
      </w:pPr>
      <w:r>
        <w:rPr>
          <w:i w:val="0"/>
          <w:iCs w:val="0"/>
        </w:rPr>
        <w:t xml:space="preserve">Рассматривается следующая задача: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1_1398"/>
        <w:jc w:val="left"/>
        <w:rPr>
          <w:bCs w:val="0"/>
          <w:i w:val="0"/>
        </w:rPr>
      </w:pPr>
      <w:r>
        <w:rPr>
          <w:i w:val="0"/>
          <w:iCs w:val="0"/>
        </w:rPr>
      </w:r>
      <w:r>
        <w:rPr>
          <w:i w:val="0"/>
          <w:iCs w:val="0"/>
        </w:rPr>
      </w:r>
      <m:oMathPara>
        <m:oMathParaPr/>
        <m:oMath>
          <m:d>
            <m:dPr>
              <m:begChr m:val="{"/>
              <m:endChr m:val=""/>
              <m:ctrlPr>
                <w:rPr>
                  <w:rFonts w:ascii="Cambria Math" w:hAnsi="Cambria Math" w:eastAsia="Cambria Math" w:cs="Cambria Math"/>
                  <w:i/>
                  <w:iCs w:val="0"/>
                </w:rPr>
              </m:ctrlPr>
            </m:dPr>
            <m:e>
              <m:eqArr>
                <m:eqArrPr>
                  <m:baseJc m:val="center"/>
                  <m:maxDist m:val="off"/>
                  <m:objDist m:val="off"/>
                  <m:rSp/>
                  <m:rSpRule/>
                  <m:ctrlPr>
                    <w:rPr>
                      <w:rFonts w:ascii="Cambria Math" w:hAnsi="Cambria Math" w:eastAsia="Cambria Math" w:cs="Cambria Math"/>
                      <w:i/>
                      <w:iCs w:val="0"/>
                    </w:rPr>
                  </m:ctrlPr>
                </m:eqArrPr>
                <m:e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N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auto"/>
                          <w:spacing w:val="0"/>
                          <w:position w:val="0"/>
                          <w:sz w:val="24"/>
                          <w:szCs w:val="24"/>
                          <w:highlight w:val="none"/>
                          <w:u w:val="none"/>
                          <w:vertAlign w:val="baseline"/>
                          <w:lang w:val="ru-RU" w:eastAsia="en-US" w:bidi="ar-SA"/>
                          <w14:ligatures w14:val="none"/>
                        </w:rPr>
                        <m:rPr/>
                        <m:t>ε</m:t>
                      </m:r>
                    </m:sub>
                  </m:sSub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u</m:t>
                  </m:r>
                  <m:r>
                    <w:rPr>
                      <w:rFonts w:hint="default" w:ascii="Cambria Math" w:hAnsi="Cambria Math" w:eastAsia="Cambria Math" w:cs="Cambria Math"/>
                      <w:lang w:val="ru-RU"/>
                    </w:rPr>
                    <m:rPr/>
                    <m:t>:=-</m:t>
                  </m:r>
                  <m:r>
                    <w:rPr>
                      <w:rFonts w:hint="default" w:ascii="Cambria Math" w:hAnsi="Cambria Math" w:eastAsia="Cambria Math" w:cs="Cambria Math"/>
                      <w:lang w:val="ru-RU"/>
                    </w:rPr>
                    <m:rPr/>
                    <m:t>ε</m:t>
                  </m:r>
                  <m:f>
                    <m:f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auto"/>
                          <w:spacing w:val="0"/>
                          <w:position w:val="0"/>
                          <w:sz w:val="24"/>
                          <w:szCs w:val="24"/>
                          <w:highlight w:val="none"/>
                          <w:u w:val="none"/>
                          <w:vertAlign w:val="baseline"/>
                          <w:lang w:val="ru-RU" w:eastAsia="en-US" w:bidi="ar-SA"/>
                          <w14:ligatures w14:val="none"/>
                        </w:rPr>
                        <m:rPr/>
                        <m:t>𝜕</m:t>
                      </m:r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auto"/>
                          <w:spacing w:val="0"/>
                          <w:position w:val="0"/>
                          <w:sz w:val="24"/>
                          <w:szCs w:val="24"/>
                          <w:highlight w:val="none"/>
                          <w:u w:val="none"/>
                          <w:vertAlign w:val="baseline"/>
                          <w:lang w:val="en-US"/>
                          <w14:ligatures w14:val="none"/>
                        </w:rPr>
                        <m:rPr/>
                        <m:t>u</m:t>
                      </m:r>
                    </m:num>
                    <m:den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auto"/>
                          <w:spacing w:val="0"/>
                          <w:position w:val="0"/>
                          <w:sz w:val="24"/>
                          <w:szCs w:val="24"/>
                          <w:highlight w:val="none"/>
                          <w:u w:val="none"/>
                          <w:vertAlign w:val="baseline"/>
                          <w:lang w:val="ru-RU" w:eastAsia="en-US" w:bidi="ar-SA"/>
                          <w14:ligatures w14:val="none"/>
                        </w:rPr>
                        <m:rPr/>
                        <m:t>𝜕</m:t>
                      </m:r>
                      <m:r>
                        <w:rPr>
                          <w:rFonts w:ascii="Cambria Math" w:hAnsi="Cambria Math" w:eastAsia="Cambria Math" w:cs="Cambria Math"/>
                          <w:lang w:val="en-US"/>
                        </w:rPr>
                        <m:rPr/>
                        <m:t>t</m:t>
                      </m:r>
                    </m:den>
                  </m:f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+</m:t>
                  </m:r>
                  <m:sSup>
                    <m:sSup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sSupPr>
                    <m:e>
                      <m:r>
                        <w:rPr>
                          <w:rFonts w:hint="default" w:ascii="Cambria Math" w:hAnsi="Cambria Math" w:eastAsia="Cambria Math" w:cs="Cambria Math"/>
                          <w:caps w:val="0"/>
                          <w:smallCaps w:val="0"/>
                          <w:strike w:val="0"/>
                          <w:color w:val="auto"/>
                          <w:spacing w:val="0"/>
                          <w:position w:val="0"/>
                          <w:sz w:val="24"/>
                          <w:szCs w:val="24"/>
                          <w:highlight w:val="none"/>
                          <w:u w:val="none"/>
                          <w:vertAlign w:val="baseline"/>
                          <w:lang w:val="ru-RU" w:eastAsia="en-US" w:bidi="ar-SA"/>
                          <w14:ligatures w14:val="none"/>
                        </w:rPr>
                        <m:rPr/>
                        <m:t>ε</m:t>
                      </m:r>
                    </m:e>
                    <m:sup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2</m:t>
                      </m:r>
                    </m:sup>
                  </m:sSup>
                  <m:f>
                    <m:f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fPr>
                    <m:num>
                      <m:sSup>
                        <m:sSupPr>
                          <m:ctrlPr>
                            <w:rPr>
                              <w:rFonts w:ascii="Cambria Math" w:hAnsi="Cambria Math" w:eastAsia="Cambria Math" w:cs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∂</m:t>
                          </m:r>
                        </m:e>
                        <m:sup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2</m:t>
                          </m:r>
                        </m:sup>
                      </m:sSup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u</m:t>
                      </m:r>
                    </m:num>
                    <m:den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∂</m:t>
                      </m:r>
                      <m:sSup>
                        <m:sSupPr>
                          <m:ctrlPr>
                            <w:rPr>
                              <w:rFonts w:ascii="Cambria Math" w:hAnsi="Cambria Math" w:eastAsia="Cambria Math" w:cs="Cambria Math"/>
                              <w:i/>
                            </w:rPr>
                          </m:ctrlPr>
                        </m:sSupPr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x</m:t>
                          </m:r>
                        </m:e>
                        <m:sup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2</m:t>
                          </m:r>
                        </m:sup>
                      </m:sSup>
                    </m:den>
                  </m:f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-</m:t>
                  </m:r>
                  <m:r>
                    <w:rPr>
                      <w:rFonts w:hint="default" w:ascii="Cambria Math" w:hAnsi="Cambria Math" w:eastAsia="Cambria Math" w:cs="Cambria Math"/>
                      <w:lang w:val="ru-RU"/>
                    </w:rPr>
                    <m:rPr/>
                    <m:t>ε</m:t>
                  </m:r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a(u, x, t)</m:t>
                  </m:r>
                  <m:f>
                    <m:f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fPr>
                    <m:num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∂u</m:t>
                      </m:r>
                    </m:num>
                    <m:den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∂x</m:t>
                      </m:r>
                    </m:den>
                  </m:f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-f(u, x, t)-</m:t>
                  </m:r>
                  <m:r>
                    <w:rPr>
                      <w:rFonts w:hint="default" w:ascii="Cambria Math" w:hAnsi="Cambria Math" w:eastAsia="Cambria Math" w:cs="Cambria Math"/>
                      <w:lang w:val="ru-RU"/>
                    </w:rPr>
                    <m:rPr/>
                    <m:t>ε</m:t>
                  </m:r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f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1</m:t>
                      </m:r>
                    </m:sub>
                  </m:sSub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(u, x, t)=0,  -1&lt;x&lt;1,  t</m:t>
                  </m:r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 ∈</m:t>
                  </m:r>
                  <m:r>
                    <w:rPr>
                      <w:rFonts w:hint="default" w:ascii="Cambria Math" w:hAnsi="Cambria Math" w:eastAsia="Cambria Math" w:cs="Cambria Math"/>
                      <w:lang w:val="ru-RU"/>
                    </w:rPr>
                    <m:rPr/>
                    <m:t> </m:t>
                  </m:r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R,</m:t>
                  </m:r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 </m:t>
                  </m:r>
                </m:e>
                <m:e>
                  <m:sSub>
                    <m:sSubPr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sSubPr>
                    <m:e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f</m:t>
                      </m:r>
                    </m:e>
                    <m:sub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1</m:t>
                      </m:r>
                    </m:sub>
                  </m:sSub>
                  <m:r>
                    <w:rPr>
                      <w:rFonts w:hint="default" w:ascii="Cambria Math" w:hAnsi="Cambria Math" w:eastAsia="Cambria Math" w:cs="Cambria Math"/>
                      <w:lang w:val="en-US"/>
                    </w:rPr>
                    <m:rPr/>
                    <m:t>(u, x, t)=</m:t>
                  </m:r>
                  <m:d>
                    <m:dPr>
                      <m:begChr m:val="{"/>
                      <m:endChr m:val=""/>
                      <m:ctrlPr>
                        <w:rPr>
                          <w:rFonts w:ascii="Cambria Math" w:hAnsi="Cambria Math" w:eastAsia="Cambria Math" w:cs="Cambria Math"/>
                          <w:i/>
                        </w:rPr>
                      </m:ctrlPr>
                    </m:dPr>
                    <m:e>
                      <m:eqArr>
                        <m:eqArrPr>
                          <m:baseJc m:val="center"/>
                          <m:maxDist m:val="off"/>
                          <m:objDist m:val="off"/>
                          <m:rSp/>
                          <m:rSpRule/>
                          <m:ctrlPr>
                            <w:rPr>
                              <w:rFonts w:ascii="Cambria Math" w:hAnsi="Cambria Math" w:eastAsia="Cambria Math" w:cs="Cambria Math"/>
                              <w:i/>
                            </w:rPr>
                          </m:ctrlPr>
                        </m:eqArrPr>
                        <m:e>
                          <m:sSubSup>
                            <m:sSubSupPr>
                              <m:alnScr m:val="off"/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f</m:t>
                              </m:r>
                            </m:e>
                            <m: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1</m:t>
                              </m:r>
                            </m:sub>
                            <m:sup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(+)</m:t>
                              </m:r>
                            </m:sup>
                          </m:sSubSup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(u, x, t),  u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∈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I</m:t>
                              </m:r>
                            </m:e>
                            <m: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u</m:t>
                              </m:r>
                            </m:sub>
                          </m:sSub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, 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x</m:t>
                              </m:r>
                            </m:e>
                            <m: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p</m:t>
                              </m:r>
                            </m:sub>
                          </m:sSub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&lt;x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≤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1, </m:t>
                          </m:r>
                        </m:e>
                        <m:e>
                          <m:sSubSup>
                            <m:sSubSupPr>
                              <m:alnScr m:val="off"/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f</m:t>
                              </m:r>
                            </m:e>
                            <m: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1</m:t>
                              </m:r>
                            </m:sub>
                            <m:sup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(-)</m:t>
                              </m:r>
                            </m:sup>
                          </m:sSubSup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(u, x, t)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,  u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∈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I</m:t>
                              </m:r>
                            </m:e>
                            <m: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u</m:t>
                              </m:r>
                            </m:sub>
                          </m:sSub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,  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-1≤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x&lt;x</m:t>
                              </m:r>
                            </m:e>
                            <m: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p</m:t>
                              </m:r>
                            </m:sub>
                          </m:sSub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,</m:t>
                          </m:r>
                        </m:e>
                      </m:eqArr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>
                          <m:sty m:val="i"/>
                        </m:rPr>
                        <m:t> t</m:t>
                      </m:r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>
                          <m:sty m:val="i"/>
                        </m:rPr>
                        <m:t> ∈ R,                                                                    </m:t>
                      </m:r>
                    </m:e>
                  </m:d>
                </m:e>
                <m:e>
                  <m:eqArr>
                    <m:eqArrPr>
                      <m:baseJc m:val="center"/>
                      <m:maxDist m:val="off"/>
                      <m:objDist m:val="off"/>
                      <m:rSp/>
                      <m:rSpRule/>
                      <m:ctrlPr>
                        <w:rPr>
                          <w:rFonts w:ascii="Cambria Math" w:hAnsi="Cambria Math" w:eastAsia="Cambria Math" w:cs="Cambria Math"/>
                          <w:i/>
                          <w:iCs w:val="0"/>
                        </w:rPr>
                      </m:ctrlPr>
                    </m:eqArrPr>
                    <m:e>
                      <m:r>
                        <w:rPr>
                          <w:rFonts w:hint="default" w:ascii="Cambria Math" w:hAnsi="Cambria Math" w:eastAsia="Cambria Math" w:cs="Cambria Math"/>
                          <w:lang w:val="en-US"/>
                        </w:rPr>
                        <m:rPr/>
                        <m:t>f(u, x, t)=</m:t>
                      </m:r>
                      <m:d>
                        <m:dPr>
                          <m:begChr m:val="{"/>
                          <m:endChr m:val=""/>
                          <m:ctrlPr>
                            <w:rPr>
                              <w:rFonts w:ascii="Cambria Math" w:hAnsi="Cambria Math" w:eastAsia="Cambria Math" w:cs="Cambria Math"/>
                              <w:i/>
                            </w:rPr>
                          </m:ctrlPr>
                        </m:dPr>
                        <m:e>
                          <m:eqArr>
                            <m:eqArrPr>
                              <m:baseJc m:val="center"/>
                              <m:maxDist m:val="off"/>
                              <m:objDist m:val="off"/>
                              <m:rSp/>
                              <m:rSpRule/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</w:rPr>
                              </m:ctrlPr>
                            </m:eqArrPr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(+)</m:t>
                                  </m:r>
                                </m:sup>
                              </m:sSup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(u, x, t),  u 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∈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u</m:t>
                                  </m:r>
                                </m:sub>
                              </m:s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,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x</m:t>
                                  </m:r>
                                </m:e>
                                <m:sub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&lt;x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≤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1, </m:t>
                              </m:r>
                            </m:e>
                            <m:e>
                              <m:sSup>
                                <m:sSup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</w:rPr>
                                  </m:ctrlPr>
                                </m:sSup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f</m:t>
                                  </m:r>
                                </m:e>
                                <m:sup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(-)</m:t>
                                  </m:r>
                                </m:sup>
                              </m:sSup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(u, x, t)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,  u 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∈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I</m:t>
                                  </m:r>
                                </m:e>
                                <m:sub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u</m:t>
                                  </m:r>
                                </m:sub>
                              </m:s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,  </m:t>
                              </m:r>
                              <m:sSub>
                                <m:sSubPr>
                                  <m:ctrlPr>
                                    <w:rPr>
                                      <w:rFonts w:ascii="Cambria Math" w:hAnsi="Cambria Math" w:eastAsia="Cambria Math" w:cs="Cambria Math"/>
                                      <w:i/>
                                    </w:rPr>
                                  </m:ctrlPr>
                                </m:sSubPr>
                                <m:e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-1≤</m:t>
                                  </m:r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x&lt;x</m:t>
                                  </m:r>
                                </m:e>
                                <m:sub>
                                  <m:r>
                                    <w:rPr>
                                      <w:rFonts w:hint="default" w:ascii="Cambria Math" w:hAnsi="Cambria Math" w:eastAsia="Cambria Math" w:cs="Cambria Math"/>
                                      <w:lang w:val="en-US"/>
                                    </w:rPr>
                                    <m:rPr/>
                                    <m:t>p</m:t>
                                  </m:r>
                                </m:sub>
                              </m:sSub>
                              <m:r>
                                <w:rPr>
                                  <w:rFonts w:hint="default" w:ascii="Cambria Math" w:hAnsi="Cambria Math" w:eastAsia="Cambria Math" w:cs="Cambria Math"/>
                                  <w:lang w:val="en-US"/>
                                </w:rPr>
                                <m:rPr/>
                                <m:t>,</m:t>
                              </m:r>
                            </m:e>
                          </m:eqAr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 t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 ∈ R,                                                                       </m:t>
                          </m:r>
                        </m:e>
                      </m:d>
                    </m:e>
                    <m:e>
                      <m:eqArr>
                        <m:eqArrPr>
                          <m:baseJc m:val="center"/>
                          <m:maxDist m:val="off"/>
                          <m:objDist m:val="off"/>
                          <m:rSp/>
                          <m:rSpRule/>
                          <m:ctrlPr>
                            <w:rPr>
                              <w:rFonts w:ascii="Cambria Math" w:hAnsi="Cambria Math" w:eastAsia="Cambria Math" w:cs="Cambria Math"/>
                              <w:i/>
                              <w:iCs w:val="0"/>
                            </w:rPr>
                          </m:ctrlPr>
                        </m:eqArrPr>
                        <m:e>
                          <m:f>
                            <m:fPr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  <w:strike w:val="0"/>
                                  <w:sz w:val="24"/>
                                  <w:highlight w:val="none"/>
                                  <w:u w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hint="default" w:ascii="Cambria Math" w:hAnsi="Cambria Math" w:eastAsia="Cambria Math" w:cs="Cambria Math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4"/>
                                  <w:szCs w:val="24"/>
                                  <w:highlight w:val="none"/>
                                  <w:u w:val="none"/>
                                  <w:vertAlign w:val="baseline"/>
                                  <w:lang w:val="ru-RU" w:eastAsia="en-US" w:bidi="ar-SA"/>
                                  <w14:ligatures w14:val="none"/>
                                </w:rPr>
                                <m:rPr/>
                                <m:t>∂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4"/>
                                  <w:szCs w:val="24"/>
                                  <w:highlight w:val="none"/>
                                  <w:u w:val="none"/>
                                  <w:vertAlign w:val="baseline"/>
                                  <w:lang w:val="en-US"/>
                                  <w14:ligatures w14:val="none"/>
                                </w:rPr>
                                <m:rPr/>
                                <m:t>u</m:t>
                              </m:r>
                            </m:num>
                            <m:den>
                              <m:r>
                                <w:rPr>
                                  <w:rFonts w:hint="default" w:ascii="Cambria Math" w:hAnsi="Cambria Math" w:eastAsia="Cambria Math" w:cs="Cambria Math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4"/>
                                  <w:szCs w:val="24"/>
                                  <w:highlight w:val="none"/>
                                  <w:u w:val="none"/>
                                  <w:vertAlign w:val="baseline"/>
                                  <w:lang w:val="ru-RU" w:eastAsia="en-US" w:bidi="ar-SA"/>
                                  <w14:ligatures w14:val="none"/>
                                </w:rPr>
                                <m:rPr/>
                                <m:t>∂x</m:t>
                              </m:r>
                            </m:den>
                          </m:f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lang w:val="en-US"/>
                              <w14:ligatures w14:val="none"/>
                            </w:rPr>
                            <m:rPr>
                              <m:sty m:val="p"/>
                            </m:rPr>
                            <m:t>(-1, t,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lang w:val="en-US"/>
                              <w14:ligatures w14:val="none"/>
                            </w:rPr>
                            <m:rPr>
                              <m:sty m:val="p"/>
                            </m:rPr>
                            <m:t>ε)=0,  </m:t>
                          </m:r>
                          <m:f>
                            <m:fPr>
                              <m:ctrlPr>
                                <w:rPr>
                                  <w:rFonts w:ascii="Cambria Math" w:hAnsi="Cambria Math" w:eastAsia="Cambria Math" w:cs="Cambria Math"/>
                                  <w:i/>
                                  <w:strike w:val="0"/>
                                  <w:sz w:val="24"/>
                                  <w:highlight w:val="none"/>
                                  <w:u w:val="none"/>
                                </w:rPr>
                              </m:ctrlPr>
                            </m:fPr>
                            <m:num>
                              <m:r>
                                <w:rPr>
                                  <w:rFonts w:hint="default" w:ascii="Cambria Math" w:hAnsi="Cambria Math" w:eastAsia="Cambria Math" w:cs="Cambria Math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4"/>
                                  <w:szCs w:val="24"/>
                                  <w:highlight w:val="none"/>
                                  <w:u w:val="none"/>
                                  <w:vertAlign w:val="baseline"/>
                                  <w:lang w:val="ru-RU" w:eastAsia="en-US" w:bidi="ar-SA"/>
                                  <w14:ligatures w14:val="none"/>
                                </w:rPr>
                                <m:rPr/>
                                <m:t>∂</m:t>
                              </m:r>
                              <m:r>
                                <w:rPr>
                                  <w:rFonts w:hint="default" w:ascii="Cambria Math" w:hAnsi="Cambria Math" w:eastAsia="Cambria Math" w:cs="Cambria Math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4"/>
                                  <w:szCs w:val="24"/>
                                  <w:highlight w:val="none"/>
                                  <w:u w:val="none"/>
                                  <w:vertAlign w:val="baseline"/>
                                  <w:lang w:val="en-US"/>
                                  <w14:ligatures w14:val="none"/>
                                </w:rPr>
                                <m:rPr/>
                                <m:t>u</m:t>
                              </m:r>
                            </m:num>
                            <m:den>
                              <m:r>
                                <w:rPr>
                                  <w:rFonts w:hint="default" w:ascii="Cambria Math" w:hAnsi="Cambria Math" w:eastAsia="Cambria Math" w:cs="Cambria Math"/>
                                  <w:caps w:val="0"/>
                                  <w:smallCaps w:val="0"/>
                                  <w:strike w:val="0"/>
                                  <w:color w:val="auto"/>
                                  <w:spacing w:val="0"/>
                                  <w:position w:val="0"/>
                                  <w:sz w:val="24"/>
                                  <w:szCs w:val="24"/>
                                  <w:highlight w:val="none"/>
                                  <w:u w:val="none"/>
                                  <w:vertAlign w:val="baseline"/>
                                  <w:lang w:val="ru-RU" w:eastAsia="en-US" w:bidi="ar-SA"/>
                                  <w14:ligatures w14:val="none"/>
                                </w:rPr>
                                <m:rPr/>
                                <m:t>∂x</m:t>
                              </m:r>
                            </m:den>
                          </m:f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lang w:val="en-US"/>
                              <w14:ligatures w14:val="none"/>
                            </w:rPr>
                            <m:rPr>
                              <m:sty m:val="p"/>
                            </m:rPr>
                            <m:t>(1, t,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caps w:val="0"/>
                              <w:smallCaps w:val="0"/>
                              <w:strike w:val="0"/>
                              <w:color w:val="auto"/>
                              <w:spacing w:val="0"/>
                              <w:position w:val="0"/>
                              <w:sz w:val="24"/>
                              <w:szCs w:val="24"/>
                              <w:highlight w:val="none"/>
                              <w:u w:val="none"/>
                              <w:vertAlign w:val="baseline"/>
                              <w:lang w:val="en-US"/>
                              <w14:ligatures w14:val="none"/>
                            </w:rPr>
                            <m:rPr>
                              <m:sty m:val="p"/>
                            </m:rPr>
                            <m:t>ε)=0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,  t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 ∈ R,                                                                                                 </m:t>
                          </m:r>
                        </m:e>
                        <m:e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u(x, t,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ε)=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u(x, t+T,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/>
                            <m:t>ε), 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t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 ∈ R,  x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∈ [-1, 1]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ru-RU"/>
                            </w:rPr>
                            <m:rPr/>
                            <m:t>, </m:t>
                          </m:r>
                          <m:r>
                            <w:rPr>
                              <w:rFonts w:hint="default" w:ascii="Cambria Math" w:hAnsi="Cambria Math" w:eastAsia="Cambria Math" w:cs="Cambria Math"/>
                              <w:lang w:val="en-US"/>
                            </w:rPr>
                            <m:rPr>
                              <m:sty m:val="i"/>
                            </m:rPr>
                            <m:t>                                                                                        </m:t>
                          </m:r>
                        </m:e>
                      </m:eqArr>
                    </m:e>
                  </m:eqArr>
                </m:e>
              </m:eqArr>
            </m:e>
          </m:d>
        </m:oMath>
      </m:oMathPara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1_1398"/>
        <w:jc w:val="left"/>
        <w:rPr>
          <w:bCs w:val="0"/>
          <w:i w:val="0"/>
          <w:highlight w:val="none"/>
        </w:rPr>
      </w:pPr>
      <w:r>
        <w:rPr>
          <w:i w:val="0"/>
          <w:iCs w:val="0"/>
          <w:highlight w:val="none"/>
        </w:rPr>
        <w:t xml:space="preserve">где </w:t>
      </w:r>
      <m:oMath>
        <m:r>
          <w:rPr>
            <w:rFonts w:ascii="Cambria Math" w:hAnsi="Cambria Math" w:cs="Cambria Math"/>
          </w:rPr>
          <m:rPr/>
          <m:t>ε</m:t>
        </m:r>
        <m:r>
          <w:rPr>
            <w:rFonts w:ascii="Cambria Math" w:hAnsi="Cambria Math"/>
            <w:lang w:val="ru-RU"/>
          </w:rPr>
          <m:rPr>
            <m:sty m:val="p"/>
          </m:rPr>
          <m:t>&gt;0</m:t>
        </m:r>
      </m:oMath>
      <w:r>
        <w:rPr>
          <w:i w:val="0"/>
          <w:iCs w:val="0"/>
          <w:highlight w:val="none"/>
        </w:rPr>
        <w:t xml:space="preserve"> </w:t>
      </w:r>
      <w:r>
        <w:rPr>
          <w:rFonts w:ascii="Arial" w:hAnsi="Arial" w:eastAsia="Arial" w:cs="Arial"/>
          <w:color w:val="333333"/>
          <w:sz w:val="20"/>
          <w:highlight w:val="white"/>
        </w:rPr>
        <w:t xml:space="preserve">—</w:t>
      </w:r>
      <w:r>
        <w:rPr>
          <w:i w:val="0"/>
          <w:iCs w:val="0"/>
          <w:highlight w:val="none"/>
        </w:rPr>
        <w:t xml:space="preserve"> малый параметр.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1_1398"/>
        <w:jc w:val="left"/>
        <w:rPr>
          <w:bCs w:val="0"/>
          <w:i w:val="0"/>
          <w:highlight w:val="none"/>
        </w:rPr>
      </w:pP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1_1398"/>
        <w:ind w:firstLine="709"/>
        <w:jc w:val="both"/>
        <w:rPr>
          <w:bCs w:val="0"/>
          <w:i w:val="0"/>
        </w:rPr>
      </w:pPr>
      <w:r>
        <w:rPr>
          <w:i w:val="0"/>
          <w:iCs w:val="0"/>
        </w:rPr>
      </w:r>
      <w:r>
        <w:rPr>
          <w:i w:val="0"/>
          <w:iCs w:val="0"/>
        </w:rPr>
        <w:t xml:space="preserve">Настоящая задача находит применение в дрейфо-диффузионной модели полупроводника при периодическом токе. </w:t>
      </w:r>
      <w:r>
        <w:rPr>
          <w:i w:val="0"/>
          <w:iCs w:val="0"/>
          <w:highlight w:val="none"/>
        </w:rPr>
        <w:t xml:space="preserve">Неизвестная функция </w:t>
      </w:r>
      <w:r>
        <w:rPr>
          <w:i w:val="0"/>
          <w:iCs w:val="0"/>
          <w:highlight w:val="none"/>
        </w:rPr>
      </w:r>
      <m:oMath>
        <m:r>
          <w:rPr>
            <w:rFonts w:ascii="Cambria Math" w:hAnsi="Cambria Math" w:eastAsia="Cambria Math" w:cs="Cambria Math"/>
          </w:rPr>
          <m:rPr/>
          <m:t>u</m:t>
        </m:r>
        <m:d>
          <m:dPr>
            <m:begChr m:val="("/>
            <m:endChr m:val=")"/>
            <m:ctrlPr/>
          </m:dPr>
          <m:e>
            <m:r>
              <w:rPr>
                <w:rFonts w:ascii="Cambria Math" w:hAnsi="Cambria Math" w:eastAsia="Cambria Math" w:cs="Cambria Math"/>
              </w:rPr>
              <m:rPr/>
              <m:t>x</m:t>
            </m:r>
            <m:r>
              <w:rPr>
                <w:rFonts w:ascii="Cambria Math" w:hAnsi="Cambria Math" w:eastAsia="Cambria Math" w:cs="Cambria Math"/>
              </w:rPr>
              <m:rPr/>
              <m:t>,</m:t>
            </m:r>
            <m:r>
              <w:rPr>
                <w:rFonts w:ascii="Cambria Math" w:hAnsi="Cambria Math" w:eastAsia="Cambria Math" w:cs="Cambria Math"/>
              </w:rPr>
              <m:rPr/>
              <m:t> t</m:t>
            </m:r>
            <m:r>
              <w:rPr>
                <w:rFonts w:ascii="Cambria Math" w:hAnsi="Cambria Math" w:eastAsia="Cambria Math" w:cs="Cambria Math"/>
              </w:rPr>
              <m:rPr/>
              <m:t>, </m:t>
            </m:r>
            <m:r>
              <w:rPr>
                <w:rFonts w:hint="default" w:ascii="Cambria Math" w:hAnsi="Cambria Math" w:eastAsia="Cambria Math" w:cs="Cambria Math"/>
              </w:rPr>
              <m:rPr/>
              <m:t>ε</m:t>
            </m:r>
          </m:e>
        </m:d>
      </m:oMath>
      <w:r>
        <w:rPr>
          <w:i w:val="0"/>
          <w:iCs w:val="0"/>
          <w:highlight w:val="none"/>
          <w:lang w:val="en-US"/>
        </w:rPr>
        <w:t xml:space="preserve"> </w:t>
      </w:r>
      <w:r>
        <w:rPr>
          <w:i w:val="0"/>
          <w:iCs w:val="0"/>
          <w:highlight w:val="none"/>
          <w:lang w:val="ru-RU"/>
        </w:rPr>
        <w:t xml:space="preserve">представляет собой приведенную напряженность электрического поля. </w:t>
      </w:r>
      <w:r>
        <w:rPr>
          <w:bCs w:val="0"/>
          <w:i w:val="0"/>
        </w:rPr>
      </w:r>
      <w:r>
        <w:rPr>
          <w:bCs w:val="0"/>
          <w:i w:val="0"/>
        </w:rPr>
      </w:r>
    </w:p>
    <w:p>
      <w:pPr>
        <w:pStyle w:val="1_1398"/>
        <w:ind w:firstLine="709"/>
        <w:jc w:val="both"/>
        <w:rPr>
          <w:bCs w:val="0"/>
          <w:i w:val="0"/>
          <w:highlight w:val="none"/>
        </w:rPr>
      </w:pPr>
      <w:r>
        <w:rPr>
          <w:bCs w:val="0"/>
          <w:i w:val="0"/>
        </w:rPr>
        <w:t xml:space="preserve">Будем считать выполненными следующие условия: </w:t>
      </w:r>
      <w:r>
        <w:rPr>
          <w:b/>
          <w:bCs/>
          <w:i w:val="0"/>
        </w:rPr>
        <w:t xml:space="preserve">(Условие 1)</w:t>
      </w:r>
      <w:r>
        <w:rPr>
          <w:bCs w:val="0"/>
          <w:i w:val="0"/>
        </w:rPr>
        <w:t xml:space="preserve"> Пусть </w:t>
      </w:r>
      <w:r>
        <w:rPr>
          <w:bCs w:val="0"/>
          <w:i w:val="0"/>
        </w:rPr>
        <w:t xml:space="preserve">при каждом фиксированном </w:t>
      </w:r>
      <w:r>
        <w:rPr>
          <w:bCs w:val="0"/>
          <w:i w:val="0"/>
        </w:rPr>
      </w:r>
      <m:oMath>
        <m:r>
          <w:rPr>
            <w:rFonts w:hint="default" w:ascii="Cambria Math" w:hAnsi="Cambria Math" w:eastAsia="Cambria Math" w:cs="Cambria Math"/>
            <w:lang w:val="en-US"/>
          </w:rPr>
          <m:rPr/>
          <m:t>u </m:t>
        </m:r>
        <m:r>
          <w:rPr>
            <w:rFonts w:hint="default" w:ascii="Cambria Math" w:hAnsi="Cambria Math" w:eastAsia="Cambria Math" w:cs="Cambria Math"/>
            <w:lang w:val="en-US"/>
          </w:rPr>
          <m:rPr/>
          <m:t>∈ </m:t>
        </m:r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I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u</m:t>
            </m:r>
          </m:sub>
        </m:sSub>
      </m:oMath>
      <w:r>
        <w:rPr>
          <w:bCs w:val="0"/>
          <w:i w:val="0"/>
        </w:rPr>
        <w:t xml:space="preserve"> функция </w:t>
      </w:r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f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1</m:t>
            </m:r>
          </m:sub>
        </m:sSub>
        <m:r>
          <w:rPr>
            <w:rFonts w:hint="default" w:ascii="Cambria Math" w:hAnsi="Cambria Math" w:eastAsia="Cambria Math" w:cs="Cambria Math"/>
            <w:lang w:val="en-US"/>
          </w:rPr>
          <m:rPr/>
          <m:t>(u, x, t)</m:t>
        </m:r>
      </m:oMath>
      <w:r>
        <w:rPr>
          <w:bCs w:val="0"/>
          <w:i w:val="0"/>
        </w:rPr>
        <w:t xml:space="preserve"> претерпевает разрыв первого рода по переменной </w:t>
      </w:r>
      <w:r>
        <w:rPr>
          <w:bCs w:val="0"/>
          <w:i w:val="0"/>
        </w:rPr>
      </w:r>
      <m:oMath>
        <m:r>
          <w:rPr>
            <w:rFonts w:hint="default" w:ascii="Cambria Math" w:hAnsi="Cambria Math" w:eastAsia="Cambria Math" w:cs="Cambria Math"/>
            <w:lang w:val="en-US"/>
          </w:rPr>
          <m:rPr/>
          <m:t>x</m:t>
        </m:r>
      </m:oMath>
      <w:r>
        <w:rPr>
          <w:bCs w:val="0"/>
          <w:i w:val="0"/>
        </w:rPr>
        <w:t xml:space="preserve"> в точке </w:t>
      </w:r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x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p</m:t>
            </m:r>
          </m:sub>
        </m:sSub>
      </m:oMath>
      <w:r>
        <w:rPr>
          <w:bCs w:val="0"/>
          <w:i w:val="0"/>
        </w:rPr>
        <w:t xml:space="preserve">, функция </w:t>
      </w:r>
      <m:oMath>
        <m:r>
          <w:rPr>
            <w:rFonts w:hint="default" w:ascii="Cambria Math" w:hAnsi="Cambria Math" w:eastAsia="Cambria Math" w:cs="Cambria Math"/>
            <w:lang w:val="en-US"/>
          </w:rPr>
          <m:rPr/>
          <m:t>f(u, x, t)</m:t>
        </m:r>
      </m:oMath>
      <w:r>
        <w:rPr>
          <w:bCs w:val="0"/>
          <w:i w:val="0"/>
        </w:rPr>
        <w:t xml:space="preserve"> непрерывна по переменной </w:t>
      </w:r>
      <m:oMath>
        <m:r>
          <w:rPr>
            <w:rFonts w:hint="default" w:ascii="Cambria Math" w:hAnsi="Cambria Math" w:eastAsia="Cambria Math" w:cs="Cambria Math"/>
            <w:lang w:val="en-US"/>
          </w:rPr>
          <m:rPr/>
          <m:t>x</m:t>
        </m:r>
      </m:oMath>
      <w:r>
        <w:rPr>
          <w:bCs w:val="0"/>
          <w:i w:val="0"/>
        </w:rPr>
        <w:t xml:space="preserve">, а ее первая производная претерпевает разрыв первого рода по переменной </w:t>
      </w:r>
      <m:oMath>
        <m:r>
          <w:rPr>
            <w:rFonts w:hint="default" w:ascii="Cambria Math" w:hAnsi="Cambria Math" w:eastAsia="Cambria Math" w:cs="Cambria Math"/>
            <w:lang w:val="en-US"/>
          </w:rPr>
          <m:rPr/>
          <m:t>x</m:t>
        </m:r>
      </m:oMath>
      <w:r>
        <w:rPr>
          <w:bCs w:val="0"/>
          <w:i w:val="0"/>
        </w:rPr>
        <w:t xml:space="preserve"> в точке </w:t>
      </w:r>
      <w:r>
        <w:rPr>
          <w:bCs w:val="0"/>
          <w:i w:val="0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x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p</m:t>
            </m:r>
          </m:sub>
        </m:sSub>
      </m:oMath>
      <w:r>
        <w:rPr>
          <w:bCs w:val="0"/>
          <w:i w:val="0"/>
        </w:rPr>
        <w:t xml:space="preserve">.</w:t>
      </w:r>
      <w:r>
        <w:rPr>
          <w:bCs w:val="0"/>
          <w:i w:val="0"/>
          <w:lang w:val="en-US"/>
        </w:rPr>
        <w:t xml:space="preserve"> </w:t>
      </w:r>
      <w:r>
        <w:rPr>
          <w:b/>
          <w:bCs/>
          <w:i w:val="0"/>
          <w:lang w:val="en-US"/>
        </w:rPr>
        <w:t xml:space="preserve">(</w:t>
      </w:r>
      <w:r>
        <w:rPr>
          <w:b/>
          <w:bCs/>
          <w:i w:val="0"/>
          <w:lang w:val="ru-RU"/>
        </w:rPr>
        <w:t xml:space="preserve">Условие 2)</w:t>
      </w:r>
      <w:r>
        <w:rPr>
          <w:bCs w:val="0"/>
          <w:i w:val="0"/>
        </w:rPr>
        <w:t xml:space="preserve"> Пусть вырожденное уравнение </w:t>
      </w:r>
      <m:oMath>
        <m:r>
          <w:rPr>
            <w:rFonts w:ascii="Cambria Math" w:hAnsi="Cambria Math" w:eastAsia="Cambria Math" w:cs="Cambria Math"/>
          </w:rPr>
          <m:rPr/>
          <m:t>f</m:t>
        </m:r>
        <m:d>
          <m:dPr>
            <m:begChr m:val="("/>
            <m:endChr m:val=")"/>
            <m:ctrlPr/>
          </m:dPr>
          <m:e>
            <m:r>
              <w:rPr>
                <w:rFonts w:ascii="Cambria Math" w:hAnsi="Cambria Math" w:eastAsia="Cambria Math" w:cs="Cambria Math"/>
              </w:rPr>
              <m:rPr/>
              <m:t>u</m:t>
            </m:r>
            <m:r>
              <w:rPr>
                <w:rFonts w:ascii="Cambria Math" w:hAnsi="Cambria Math" w:eastAsia="Cambria Math" w:cs="Cambria Math"/>
              </w:rPr>
              <m:rPr/>
              <m:t>, </m:t>
            </m:r>
            <m:r>
              <w:rPr>
                <w:rFonts w:ascii="Cambria Math" w:hAnsi="Cambria Math" w:eastAsia="Cambria Math" w:cs="Cambria Math"/>
              </w:rPr>
              <m:rPr/>
              <m:t>x</m:t>
            </m:r>
            <m:r>
              <w:rPr>
                <w:rFonts w:ascii="Cambria Math" w:hAnsi="Cambria Math" w:eastAsia="Cambria Math" w:cs="Cambria Math"/>
              </w:rPr>
              <m:rPr/>
              <m:t>, </m:t>
            </m:r>
            <m:r>
              <w:rPr>
                <w:rFonts w:ascii="Cambria Math" w:hAnsi="Cambria Math" w:eastAsia="Cambria Math" w:cs="Cambria Math"/>
              </w:rPr>
              <m:rPr/>
              <m:t>t</m:t>
            </m:r>
          </m:e>
        </m:d>
        <m:r>
          <w:rPr>
            <w:rFonts w:ascii="Cambria Math" w:hAnsi="Cambria Math" w:eastAsia="Cambria Math" w:cs="Cambria Math"/>
          </w:rPr>
          <m:rPr/>
          <m:t>=</m:t>
        </m:r>
        <m:r>
          <w:rPr>
            <w:rFonts w:ascii="Cambria Math" w:hAnsi="Cambria Math" w:eastAsia="Cambria Math" w:cs="Cambria Math"/>
          </w:rPr>
          <m:rPr/>
          <m:t>0</m:t>
        </m:r>
      </m:oMath>
      <w:r>
        <w:rPr>
          <w:bCs w:val="0"/>
          <w:i w:val="0"/>
        </w:rPr>
        <w:t xml:space="preserve"> имеет </w:t>
      </w:r>
      <w:r>
        <w:rPr>
          <w:bCs w:val="0"/>
          <w:i w:val="0"/>
        </w:rPr>
        <w:t xml:space="preserve">в области</w:t>
      </w:r>
      <w:r>
        <w:rPr>
          <w:bCs w:val="0"/>
          <w:i w:val="0"/>
          <w:lang w:val="en-US"/>
        </w:rPr>
        <w:t xml:space="preserve"> </w:t>
      </w:r>
      <m:oMath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x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[-1, 1],  u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</m:t>
        </m:r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I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u</m:t>
            </m:r>
          </m:sub>
        </m:sSub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,  t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R,</m:t>
        </m:r>
      </m:oMath>
      <w:r>
        <w:rPr>
          <w:bCs w:val="0"/>
          <w:i w:val="0"/>
          <w:lang w:val="en-US"/>
        </w:rPr>
        <w:t xml:space="preserve"> </w:t>
      </w:r>
      <w:r>
        <w:rPr>
          <w:bCs w:val="0"/>
          <w:i w:val="0"/>
          <w:lang w:val="ru-RU"/>
        </w:rPr>
        <w:t xml:space="preserve">ровно один корень </w:t>
      </w:r>
      <m:oMath>
        <m:r>
          <w:rPr>
            <w:rFonts w:hint="default" w:ascii="Cambria Math" w:hAnsi="Cambria Math" w:eastAsia="Cambria Math" w:cs="Cambria Math"/>
          </w:rPr>
          <m:rPr>
            <m:sty m:val="i"/>
          </m:rPr>
          <m:t>φ(</m:t>
        </m:r>
        <m:r>
          <w:rPr>
            <w:rFonts w:hint="default" w:ascii="Cambria Math" w:hAnsi="Cambria Math" w:eastAsia="Cambria Math" w:cs="Cambria Math"/>
            <w:lang w:val="en-US"/>
          </w:rPr>
          <m:rPr/>
          <m:t>x, t)</m:t>
        </m:r>
      </m:oMath>
      <w:r>
        <w:rPr>
          <w:bCs w:val="0"/>
          <w:i w:val="0"/>
        </w:rPr>
        <w:t xml:space="preserve">, лежащий в области</w:t>
      </w:r>
      <w:r>
        <w:rPr>
          <w:bCs w:val="0"/>
          <w:i w:val="0"/>
          <w:lang w:val="en-US"/>
        </w:rPr>
        <w:t xml:space="preserve"> </w:t>
      </w:r>
      <m:oMath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x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[-1, 1],  u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</m:t>
        </m:r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I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u</m:t>
            </m:r>
          </m:sub>
        </m:sSub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,  t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R,</m:t>
        </m:r>
      </m:oMath>
      <w:r>
        <w:rPr>
          <w:bCs w:val="0"/>
          <w:i w:val="0"/>
        </w:rPr>
        <w:t xml:space="preserve"> удовлетворяющий неравенству</w:t>
      </w:r>
      <w:r>
        <w:rPr>
          <w:bCs w:val="0"/>
          <w:i w:val="0"/>
          <w:lang w:val="ru-RU"/>
        </w:rPr>
        <w:t xml:space="preserve">: </w:t>
      </w:r>
      <w:r>
        <w:rPr>
          <w:bCs w:val="0"/>
          <w:i w:val="0"/>
        </w:rPr>
      </w:r>
      <m:oMath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f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>
                <m:sty m:val="i"/>
              </m:rPr>
              <m:t>u</m:t>
            </m:r>
          </m:sub>
        </m:sSub>
        <m:r>
          <w:rPr>
            <w:rFonts w:hint="default" w:ascii="Cambria Math" w:hAnsi="Cambria Math" w:eastAsia="Cambria Math" w:cs="Cambria Math"/>
            <w:lang w:val="en-US"/>
          </w:rPr>
          <m:rPr/>
          <m:t>(</m:t>
        </m:r>
        <m:r>
          <w:rPr>
            <w:rFonts w:hint="default" w:ascii="Cambria Math" w:hAnsi="Cambria Math" w:eastAsia="Cambria Math" w:cs="Cambria Math"/>
          </w:rPr>
          <m:rPr>
            <m:sty m:val="i"/>
          </m:rPr>
          <m:t>φ(</m:t>
        </m:r>
        <m:r>
          <w:rPr>
            <w:rFonts w:hint="default" w:ascii="Cambria Math" w:hAnsi="Cambria Math" w:eastAsia="Cambria Math" w:cs="Cambria Math"/>
            <w:lang w:val="en-US"/>
          </w:rPr>
          <m:rPr/>
          <m:t>x, t)</m:t>
        </m:r>
        <m:r>
          <w:rPr>
            <w:rFonts w:hint="default" w:ascii="Cambria Math" w:hAnsi="Cambria Math" w:eastAsia="Cambria Math" w:cs="Cambria Math"/>
            <w:lang w:val="en-US"/>
          </w:rPr>
          <m:rPr/>
          <m:t>, x, t)&gt;0</m:t>
        </m:r>
      </m:oMath>
      <w:r>
        <w:rPr>
          <w:bCs w:val="0"/>
          <w:i w:val="0"/>
        </w:rPr>
        <w:t xml:space="preserve">, </w:t>
      </w:r>
      <m:oMath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x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[-1, 1],  u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</m:t>
        </m:r>
        <m:sSub>
          <m:sSubPr>
            <m:ctrlPr>
              <w:rPr>
                <w:rFonts w:ascii="Cambria Math" w:hAnsi="Cambria Math" w:eastAsia="Cambria Math" w:cs="Cambria Math"/>
                <w:i/>
              </w:rPr>
            </m:ctrlPr>
          </m:sSubPr>
          <m:e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I</m:t>
            </m:r>
          </m:e>
          <m:sub>
            <m:r>
              <w:rPr>
                <w:rFonts w:hint="default" w:ascii="Cambria Math" w:hAnsi="Cambria Math" w:eastAsia="Cambria Math" w:cs="Cambria Math"/>
                <w:lang w:val="en-US"/>
              </w:rPr>
              <m:rPr/>
              <m:t>u</m:t>
            </m:r>
          </m:sub>
        </m:sSub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,  t </m:t>
        </m:r>
        <m:r>
          <w:rPr>
            <w:rFonts w:hint="default" w:ascii="Cambria Math" w:hAnsi="Cambria Math" w:eastAsia="Cambria Math" w:cs="Cambria Math"/>
            <w:lang w:val="en-US"/>
          </w:rPr>
          <m:rPr>
            <m:sty m:val="i"/>
          </m:rPr>
          <m:t>∈ R</m:t>
        </m:r>
      </m:oMath>
      <w:r>
        <w:rPr>
          <w:bCs w:val="0"/>
          <w:i w:val="0"/>
          <w:lang w:val="en-US"/>
        </w:rPr>
        <w:t xml:space="preserve">.</w:t>
      </w:r>
      <w:r>
        <w:rPr>
          <w:bCs w:val="0"/>
          <w:i w:val="0"/>
          <w:highlight w:val="none"/>
        </w:rPr>
      </w:r>
      <w:r>
        <w:rPr>
          <w:bCs w:val="0"/>
          <w:i w:val="0"/>
          <w:highlight w:val="none"/>
        </w:rPr>
      </w:r>
    </w:p>
    <w:p>
      <w:pPr>
        <w:pStyle w:val="1_1398"/>
        <w:ind w:firstLine="709"/>
        <w:jc w:val="both"/>
        <w:rPr>
          <w:bCs w:val="0"/>
          <w:i w:val="0"/>
        </w:rPr>
      </w:pPr>
      <w:r>
        <w:rPr>
          <w:i w:val="0"/>
          <w:iCs w:val="0"/>
        </w:rPr>
        <w:t xml:space="preserve">В настоящей работе выполнено построение асимптотики, доказательство существования и исследование устойчивости периодического по переменной </w:t>
      </w:r>
      <w:r>
        <w:rPr>
          <w:i w:val="0"/>
          <w:iCs w:val="0"/>
        </w:rPr>
      </w:r>
      <m:oMath>
        <m:r>
          <w:rPr>
            <w:rFonts w:hint="default" w:ascii="Cambria Math" w:hAnsi="Cambria Math" w:eastAsia="Cambria Math" w:cs="Cambria Math"/>
            <w:lang w:val="en-US"/>
          </w:rPr>
          <m:rPr/>
          <m:t>t</m:t>
        </m:r>
      </m:oMath>
      <w:r>
        <w:rPr>
          <w:i w:val="0"/>
          <w:iCs w:val="0"/>
        </w:rPr>
        <w:t xml:space="preserve"> решения. </w:t>
      </w:r>
      <w:r>
        <w:rPr>
          <w:i w:val="0"/>
          <w:iCs w:val="0"/>
        </w:rPr>
        <w:t xml:space="preserve">Показано, что такое ре</w:t>
      </w:r>
      <w:r>
        <w:rPr>
          <w:i w:val="0"/>
          <w:iCs w:val="0"/>
        </w:rPr>
        <w:t xml:space="preserve">ш</w:t>
      </w:r>
      <w:r>
        <w:rPr>
          <w:i w:val="0"/>
          <w:iCs w:val="0"/>
        </w:rPr>
        <w:t xml:space="preserve">ение как решение соответствующей начально-краевой задачи является асимптотически устойчивым по Ляпунову. Для такого решения указана область устойчивости конечной (не асимптотический малой) ширины и установлено, что решение задачи с периодическими условиями</w:t>
      </w:r>
      <w:r>
        <w:rPr>
          <w:i w:val="0"/>
          <w:iCs w:val="0"/>
        </w:rPr>
        <w:t xml:space="preserve"> единственно в этой области.  </w:t>
      </w:r>
      <w:r>
        <w:rPr>
          <w:i w:val="0"/>
          <w:iCs w:val="0"/>
        </w:rPr>
        <w:t xml:space="preserve">Работа выполнена при финансовой поддержке РНФ (проект 23-11-00069).</w:t>
      </w:r>
      <w:r>
        <w:rPr>
          <w:bCs w:val="0"/>
          <w:i w:val="0"/>
        </w:rPr>
      </w:r>
      <w:r>
        <w:rPr>
          <w:bCs w:val="0"/>
          <w:i w:val="0"/>
        </w:rPr>
      </w:r>
      <w:r>
        <w:rPr>
          <w:b/>
        </w:rPr>
      </w:r>
      <w:r>
        <w:rPr>
          <w:b/>
        </w:rPr>
      </w:r>
      <w:r>
        <w:rPr>
          <w:bCs w:val="0"/>
          <w:i w:val="0"/>
        </w:rPr>
      </w:r>
    </w:p>
    <w:p>
      <w:pPr>
        <w:pStyle w:val="655"/>
        <w:ind w:firstLine="426"/>
        <w:jc w:val="center"/>
        <w:rPr>
          <w:b/>
        </w:rPr>
      </w:pPr>
      <w:r>
        <w:rPr>
          <w:b/>
          <w:color w:val="000000"/>
          <w:shd w:val="clear" w:color="auto" w:fill="ffffff"/>
        </w:rPr>
        <w:t xml:space="preserve">Литература</w:t>
      </w:r>
      <w:r>
        <w:rPr>
          <w:b/>
        </w:rPr>
      </w:r>
      <w:r>
        <w:rPr>
          <w:b/>
        </w:rPr>
      </w:r>
    </w:p>
    <w:p>
      <w:pPr>
        <w:pStyle w:val="1_1396"/>
        <w:numPr>
          <w:ilvl w:val="0"/>
          <w:numId w:val="8"/>
        </w:numPr>
        <w:ind w:left="567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none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Васильева А. Б., Бутузов В. Ф., Нефедов Н. Н. Контрастные структуры в сингулярно возмущенных задачах //Фундаментальная и прикладная математика. – 1998. – Т. 4. – №. 3. – С. 799-851.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1_1396"/>
        <w:numPr>
          <w:ilvl w:val="0"/>
          <w:numId w:val="8"/>
        </w:numPr>
        <w:ind w:left="567" w:hanging="3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 w:eastAsia="ru-RU"/>
        </w:rPr>
      </w:r>
      <w:r>
        <w:rPr>
          <w:rFonts w:ascii="Times New Roman" w:hAnsi="Times New Roman" w:eastAsia="Times New Roman" w:cs="Times New Roman"/>
          <w:color w:val="222222"/>
          <w:sz w:val="24"/>
          <w:szCs w:val="24"/>
          <w:highlight w:val="white"/>
        </w:rPr>
        <w:t xml:space="preserve">Nefedov N. N., Nikulin E. I., Orlov A. O. Existence of contrast structures in a problem with discontinuous reaction and advection //Russian Journal of Mathematical Physics. – 2022. – Т. 29. – №. 2. – С. 214-224</w:t>
      </w:r>
      <w:r>
        <w:rPr>
          <w:lang w:val="en-US" w:eastAsia="ru-RU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70"/>
        <w:ind w:left="709" w:firstLine="0"/>
        <w:rPr>
          <w:i/>
          <w:szCs w:val="20"/>
          <w:lang w:val="en-US"/>
        </w:rPr>
      </w:pPr>
      <w:r>
        <w:rPr>
          <w:szCs w:val="20"/>
          <w:lang w:val="en-US"/>
        </w:rPr>
      </w:r>
      <w:r>
        <w:rPr>
          <w:i/>
          <w:szCs w:val="20"/>
          <w:lang w:val="en-US"/>
        </w:rPr>
      </w:r>
    </w:p>
    <w:sectPr>
      <w:footerReference w:type="default" r:id="rId9"/>
      <w:footerReference w:type="even" r:id="rId10"/>
      <w:footnotePr/>
      <w:endnotePr/>
      <w:type w:val="nextPage"/>
      <w:pgSz w:w="11906" w:h="16838" w:orient="portrait"/>
      <w:pgMar w:top="1134" w:right="1361" w:bottom="1247" w:left="136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 Math">
    <w:panose1 w:val="02040503050406030204"/>
  </w:font>
  <w:font w:name="Times New Roman">
    <w:panose1 w:val="02020603050405020304"/>
  </w:font>
  <w:font w:name="Tahoma">
    <w:panose1 w:val="020B06040305040402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ind w:right="360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67"/>
      <w:rPr>
        <w:rStyle w:val="668"/>
      </w:rPr>
      <w:framePr w:wrap="around" w:vAnchor="text" w:hAnchor="margin" w:xAlign="right" w:y="1"/>
    </w:pPr>
    <w:r>
      <w:rPr>
        <w:rStyle w:val="668"/>
      </w:rPr>
      <w:fldChar w:fldCharType="begin"/>
    </w:r>
    <w:r>
      <w:rPr>
        <w:rStyle w:val="668"/>
      </w:rPr>
      <w:instrText xml:space="preserve">PAGE  </w:instrText>
    </w:r>
    <w:r>
      <w:rPr>
        <w:rStyle w:val="668"/>
      </w:rPr>
      <w:fldChar w:fldCharType="end"/>
    </w:r>
    <w:r>
      <w:rPr>
        <w:rStyle w:val="668"/>
      </w:rPr>
    </w:r>
    <w:r>
      <w:rPr>
        <w:rStyle w:val="668"/>
      </w:rPr>
    </w:r>
  </w:p>
  <w:p>
    <w:pPr>
      <w:pStyle w:val="667"/>
      <w:ind w:right="36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86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8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0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2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4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6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8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06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  <w:rPr>
        <w:i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502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  <w:tabs>
          <w:tab w:val="num" w:pos="108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  <w:tabs>
          <w:tab w:val="num" w:pos="180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  <w:tabs>
          <w:tab w:val="num" w:pos="252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  <w:tabs>
          <w:tab w:val="num" w:pos="324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  <w:tabs>
          <w:tab w:val="num" w:pos="396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  <w:tabs>
          <w:tab w:val="num" w:pos="468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  <w:tabs>
          <w:tab w:val="num" w:pos="540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  <w:tabs>
          <w:tab w:val="num" w:pos="612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  <w:tabs>
          <w:tab w:val="num" w:pos="6840" w:leader="none"/>
        </w:tabs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  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55"/>
    <w:next w:val="65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55"/>
    <w:next w:val="65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55"/>
    <w:next w:val="65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55"/>
    <w:next w:val="65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55"/>
    <w:next w:val="65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55"/>
    <w:next w:val="65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55"/>
    <w:next w:val="65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55"/>
    <w:next w:val="65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55"/>
    <w:next w:val="65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55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55"/>
    <w:next w:val="65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55"/>
    <w:next w:val="65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55"/>
    <w:next w:val="65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55"/>
    <w:next w:val="65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5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5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55"/>
    <w:next w:val="65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5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5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55"/>
    <w:next w:val="65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55"/>
    <w:next w:val="65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55"/>
    <w:next w:val="65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55"/>
    <w:next w:val="65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55"/>
    <w:next w:val="65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55"/>
    <w:next w:val="65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55"/>
    <w:next w:val="65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55"/>
    <w:next w:val="65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55"/>
    <w:next w:val="65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55"/>
    <w:next w:val="655"/>
    <w:uiPriority w:val="99"/>
    <w:unhideWhenUsed/>
    <w:pPr>
      <w:spacing w:after="0" w:afterAutospacing="0"/>
    </w:pPr>
  </w:style>
  <w:style w:type="paragraph" w:styleId="655" w:default="1">
    <w:name w:val="Normal"/>
    <w:next w:val="655"/>
    <w:link w:val="655"/>
    <w:qFormat/>
    <w:rPr>
      <w:sz w:val="24"/>
      <w:szCs w:val="24"/>
      <w:lang w:val="ru-RU" w:eastAsia="ru-RU" w:bidi="ar-SA"/>
    </w:rPr>
  </w:style>
  <w:style w:type="paragraph" w:styleId="656">
    <w:name w:val="Заголовок 2"/>
    <w:basedOn w:val="655"/>
    <w:next w:val="655"/>
    <w:link w:val="665"/>
    <w:qFormat/>
    <w:pPr>
      <w:ind w:firstLine="709"/>
      <w:jc w:val="center"/>
      <w:keepNext/>
      <w:pageBreakBefore/>
      <w:spacing w:after="120" w:line="360" w:lineRule="auto"/>
      <w:outlineLvl w:val="1"/>
    </w:pPr>
    <w:rPr>
      <w:b/>
      <w:bCs/>
      <w:iCs/>
      <w:sz w:val="28"/>
      <w:szCs w:val="28"/>
    </w:rPr>
  </w:style>
  <w:style w:type="character" w:styleId="657">
    <w:name w:val="Основной шрифт абзаца"/>
    <w:next w:val="657"/>
    <w:link w:val="655"/>
    <w:uiPriority w:val="1"/>
    <w:semiHidden/>
    <w:unhideWhenUsed/>
  </w:style>
  <w:style w:type="table" w:styleId="658">
    <w:name w:val="Обычная таблица"/>
    <w:next w:val="658"/>
    <w:link w:val="655"/>
    <w:uiPriority w:val="99"/>
    <w:semiHidden/>
    <w:unhideWhenUsed/>
    <w:tblPr/>
  </w:style>
  <w:style w:type="numbering" w:styleId="659">
    <w:name w:val="Нет списка"/>
    <w:next w:val="659"/>
    <w:link w:val="655"/>
    <w:uiPriority w:val="99"/>
    <w:semiHidden/>
    <w:unhideWhenUsed/>
  </w:style>
  <w:style w:type="character" w:styleId="660">
    <w:name w:val="Выделение"/>
    <w:next w:val="660"/>
    <w:link w:val="655"/>
    <w:qFormat/>
    <w:rPr>
      <w:i/>
      <w:iCs/>
    </w:rPr>
  </w:style>
  <w:style w:type="character" w:styleId="661">
    <w:name w:val="apple-converted-space"/>
    <w:basedOn w:val="657"/>
    <w:next w:val="661"/>
    <w:link w:val="655"/>
  </w:style>
  <w:style w:type="character" w:styleId="662">
    <w:name w:val="Гиперссылка"/>
    <w:next w:val="662"/>
    <w:link w:val="655"/>
    <w:rPr>
      <w:color w:val="0000ff"/>
      <w:u w:val="single"/>
    </w:rPr>
  </w:style>
  <w:style w:type="paragraph" w:styleId="663">
    <w:name w:val="Без интервала"/>
    <w:next w:val="663"/>
    <w:link w:val="664"/>
    <w:qFormat/>
    <w:rPr>
      <w:rFonts w:ascii="Calibri" w:hAnsi="Calibri"/>
      <w:sz w:val="22"/>
      <w:szCs w:val="22"/>
      <w:lang w:val="ru-RU" w:eastAsia="en-US" w:bidi="ar-SA"/>
    </w:rPr>
  </w:style>
  <w:style w:type="character" w:styleId="664">
    <w:name w:val="Без интервала Знак"/>
    <w:next w:val="664"/>
    <w:link w:val="663"/>
    <w:rPr>
      <w:rFonts w:ascii="Calibri" w:hAnsi="Calibri"/>
      <w:sz w:val="22"/>
      <w:szCs w:val="22"/>
      <w:lang w:val="ru-RU" w:eastAsia="en-US" w:bidi="ar-SA"/>
    </w:rPr>
  </w:style>
  <w:style w:type="character" w:styleId="665">
    <w:name w:val="Заголовок 2 Знак"/>
    <w:next w:val="665"/>
    <w:link w:val="656"/>
    <w:rPr>
      <w:b/>
      <w:bCs/>
      <w:iCs/>
      <w:sz w:val="28"/>
      <w:szCs w:val="28"/>
      <w:lang w:val="ru-RU" w:eastAsia="ru-RU" w:bidi="ar-SA"/>
    </w:rPr>
  </w:style>
  <w:style w:type="paragraph" w:styleId="666">
    <w:name w:val="Обычный (веб)"/>
    <w:basedOn w:val="655"/>
    <w:next w:val="666"/>
    <w:link w:val="655"/>
    <w:uiPriority w:val="99"/>
    <w:unhideWhenUsed/>
    <w:pPr>
      <w:spacing w:before="100" w:beforeAutospacing="1" w:after="100" w:afterAutospacing="1"/>
    </w:pPr>
  </w:style>
  <w:style w:type="paragraph" w:styleId="667">
    <w:name w:val="Нижний колонтитул"/>
    <w:basedOn w:val="655"/>
    <w:next w:val="667"/>
    <w:link w:val="655"/>
    <w:pPr>
      <w:tabs>
        <w:tab w:val="center" w:pos="4677" w:leader="none"/>
        <w:tab w:val="right" w:pos="9355" w:leader="none"/>
      </w:tabs>
    </w:pPr>
  </w:style>
  <w:style w:type="character" w:styleId="668">
    <w:name w:val="Номер страницы"/>
    <w:basedOn w:val="657"/>
    <w:next w:val="668"/>
    <w:link w:val="655"/>
  </w:style>
  <w:style w:type="character" w:styleId="669">
    <w:name w:val="Замещающий текст"/>
    <w:next w:val="669"/>
    <w:link w:val="655"/>
    <w:uiPriority w:val="99"/>
    <w:semiHidden/>
    <w:rPr>
      <w:color w:val="808080"/>
    </w:rPr>
  </w:style>
  <w:style w:type="paragraph" w:styleId="670">
    <w:name w:val="Абзац списка"/>
    <w:basedOn w:val="655"/>
    <w:next w:val="670"/>
    <w:link w:val="655"/>
    <w:uiPriority w:val="34"/>
    <w:qFormat/>
    <w:pPr>
      <w:contextualSpacing/>
      <w:ind w:left="720"/>
    </w:pPr>
  </w:style>
  <w:style w:type="paragraph" w:styleId="671">
    <w:name w:val="Текст выноски"/>
    <w:basedOn w:val="655"/>
    <w:next w:val="671"/>
    <w:link w:val="672"/>
    <w:rPr>
      <w:rFonts w:ascii="Tahoma" w:hAnsi="Tahoma"/>
      <w:sz w:val="16"/>
      <w:szCs w:val="16"/>
      <w:lang w:val="en-US" w:eastAsia="en-US"/>
    </w:rPr>
  </w:style>
  <w:style w:type="character" w:styleId="672">
    <w:name w:val="Текст выноски Знак"/>
    <w:next w:val="672"/>
    <w:link w:val="671"/>
    <w:rPr>
      <w:rFonts w:ascii="Tahoma" w:hAnsi="Tahoma" w:cs="Tahoma"/>
      <w:sz w:val="16"/>
      <w:szCs w:val="16"/>
    </w:rPr>
  </w:style>
  <w:style w:type="paragraph" w:styleId="673">
    <w:name w:val="Верхний колонтитул"/>
    <w:basedOn w:val="655"/>
    <w:next w:val="673"/>
    <w:link w:val="674"/>
    <w:semiHidden/>
    <w:unhideWhenUsed/>
    <w:pPr>
      <w:tabs>
        <w:tab w:val="center" w:pos="4677" w:leader="none"/>
        <w:tab w:val="right" w:pos="9355" w:leader="none"/>
      </w:tabs>
    </w:pPr>
  </w:style>
  <w:style w:type="character" w:styleId="674">
    <w:name w:val="Верхний колонтитул Знак"/>
    <w:basedOn w:val="657"/>
    <w:next w:val="674"/>
    <w:link w:val="673"/>
    <w:semiHidden/>
    <w:rPr>
      <w:sz w:val="24"/>
      <w:szCs w:val="24"/>
    </w:rPr>
  </w:style>
  <w:style w:type="character" w:styleId="1164" w:default="1">
    <w:name w:val="Default Paragraph Font"/>
    <w:uiPriority w:val="1"/>
    <w:semiHidden/>
    <w:unhideWhenUsed/>
  </w:style>
  <w:style w:type="numbering" w:styleId="1165" w:default="1">
    <w:name w:val="No List"/>
    <w:uiPriority w:val="99"/>
    <w:semiHidden/>
    <w:unhideWhenUsed/>
  </w:style>
  <w:style w:type="table" w:styleId="1166" w:default="1">
    <w:name w:val="Normal Table"/>
    <w:uiPriority w:val="99"/>
    <w:semiHidden/>
    <w:unhideWhenUsed/>
    <w:tblPr/>
  </w:style>
  <w:style w:type="paragraph" w:styleId="1_809" w:customStyle="1">
    <w:name w:val="Авторы"/>
    <w:basedOn w:val="845"/>
    <w:qFormat/>
    <w:pPr>
      <w:contextualSpacing w:val="0"/>
      <w:ind w:left="0" w:right="0" w:firstLine="0"/>
      <w:jc w:val="center"/>
      <w:keepLines w:val="0"/>
      <w:keepNext w:val="0"/>
      <w:pageBreakBefore w:val="0"/>
      <w:spacing w:before="0" w:beforeAutospacing="0" w:after="12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1398" w:customStyle="1">
    <w:name w:val="Данные"/>
    <w:basedOn w:val="845"/>
    <w:qFormat/>
    <w:pPr>
      <w:contextualSpacing/>
      <w:ind w:left="0" w:right="0" w:firstLine="0"/>
      <w:jc w:val="center"/>
      <w:keepLines w:val="0"/>
      <w:keepNext w:val="0"/>
      <w:pageBreakBefore w:val="0"/>
      <w:spacing w:before="0" w:beforeAutospacing="0" w:after="24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1397" w:customStyle="1">
    <w:name w:val="Литература"/>
    <w:basedOn w:val="845"/>
    <w:qFormat/>
    <w:pPr>
      <w:contextualSpacing w:val="0"/>
      <w:ind w:left="0" w:right="0" w:firstLine="567"/>
      <w:jc w:val="both"/>
      <w:keepLines w:val="0"/>
      <w:keepNext w:val="0"/>
      <w:pageBreakBefore w:val="0"/>
      <w:spacing w:before="240" w:beforeAutospacing="0" w:after="12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/>
      <w:bCs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ru-RU" w:eastAsia="en-US" w:bidi="ar-SA"/>
      <w14:ligatures w14:val="none"/>
    </w:rPr>
  </w:style>
  <w:style w:type="paragraph" w:styleId="1_1396" w:customStyle="1">
    <w:name w:val="Bibliography"/>
    <w:basedOn w:val="845"/>
    <w:next w:val="845"/>
    <w:uiPriority w:val="37"/>
    <w:unhideWhenUsed/>
    <w:qFormat/>
    <w:pPr>
      <w:contextualSpacing/>
      <w:ind w:left="567" w:right="0" w:hanging="340"/>
      <w:jc w:val="both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GB" w:eastAsia="en-US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footer" Target="footer2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Р7-Офис/2024.2.1.461</Application>
  <Company>MSU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Особенности акустического поля мощных фазированных решеток для неинвазивной ультразвуковой хирургии</dc:title>
  <dc:creator>PR</dc:creator>
  <cp:revision>4</cp:revision>
  <dcterms:created xsi:type="dcterms:W3CDTF">2018-02-06T07:23:00Z</dcterms:created>
  <dcterms:modified xsi:type="dcterms:W3CDTF">2025-02-08T10:00:26Z</dcterms:modified>
  <cp:version>786432</cp:version>
</cp:coreProperties>
</file>