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tabs>
          <w:tab w:val="clear" w:pos="709"/>
          <w:tab w:val="left" w:pos="426" w:leader="none"/>
        </w:tabs>
        <w:spacing w:lineRule="auto" w:line="240" w:before="0" w:after="120"/>
        <w:ind w:hanging="0"/>
        <w:contextualSpacing w:val="false"/>
        <w:jc w:val="center"/>
        <w:rPr>
          <w:b/>
          <w:sz w:val="24"/>
        </w:rPr>
      </w:pPr>
      <w:r>
        <w:rPr>
          <w:b/>
          <w:sz w:val="24"/>
        </w:rPr>
        <w:t>Численное моделирование фазовых равновесий многокомпонентных гидротермальных растворов на примере геотермального месторождения Камчатки</w:t>
      </w:r>
    </w:p>
    <w:p>
      <w:pPr>
        <w:pStyle w:val="Style14"/>
        <w:tabs>
          <w:tab w:val="clear" w:pos="709"/>
          <w:tab w:val="left" w:pos="426" w:leader="none"/>
        </w:tabs>
        <w:spacing w:lineRule="auto" w:line="240" w:before="0" w:after="120"/>
        <w:ind w:hanging="0"/>
        <w:contextualSpacing w:val="false"/>
        <w:jc w:val="center"/>
        <w:rPr>
          <w:b/>
          <w:sz w:val="24"/>
        </w:rPr>
      </w:pPr>
      <w:r>
        <w:rPr>
          <w:b/>
          <w:i/>
          <w:sz w:val="24"/>
        </w:rPr>
        <w:t xml:space="preserve"> </w:t>
      </w:r>
      <w:r>
        <w:rPr>
          <w:b/>
          <w:i/>
          <w:sz w:val="24"/>
          <w:vertAlign w:val="superscript"/>
        </w:rPr>
        <w:t>1</w:t>
      </w:r>
      <w:r>
        <w:rPr>
          <w:b/>
          <w:i/>
          <w:sz w:val="24"/>
        </w:rPr>
        <w:t xml:space="preserve">Шведова А.П. , </w:t>
      </w:r>
      <w:r>
        <w:rPr>
          <w:b/>
          <w:i/>
          <w:sz w:val="24"/>
          <w:vertAlign w:val="superscript"/>
        </w:rPr>
        <w:t>2</w:t>
      </w:r>
      <w:r>
        <w:rPr>
          <w:b/>
          <w:i/>
          <w:sz w:val="24"/>
        </w:rPr>
        <w:t>Сахаров П.С.</w:t>
      </w:r>
    </w:p>
    <w:p>
      <w:pPr>
        <w:pStyle w:val="Style14"/>
        <w:tabs>
          <w:tab w:val="clear" w:pos="709"/>
          <w:tab w:val="left" w:pos="426" w:leader="none"/>
        </w:tabs>
        <w:spacing w:lineRule="auto" w:line="240" w:before="0" w:after="120"/>
        <w:ind w:hanging="0"/>
        <w:contextualSpacing w:val="false"/>
        <w:jc w:val="center"/>
        <w:rPr>
          <w:i/>
          <w:i/>
          <w:sz w:val="24"/>
        </w:rPr>
      </w:pPr>
      <w:r>
        <w:rPr>
          <w:i/>
          <w:sz w:val="24"/>
          <w:vertAlign w:val="superscript"/>
        </w:rPr>
        <w:t>1</w:t>
      </w:r>
      <w:r>
        <w:rPr>
          <w:i/>
          <w:sz w:val="24"/>
        </w:rPr>
        <w:t xml:space="preserve">Студент, 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>Аспирант</w:t>
      </w:r>
    </w:p>
    <w:p>
      <w:pPr>
        <w:pStyle w:val="Style14"/>
        <w:tabs>
          <w:tab w:val="clear" w:pos="709"/>
          <w:tab w:val="left" w:pos="426" w:leader="none"/>
        </w:tabs>
        <w:spacing w:lineRule="auto" w:line="240" w:before="0" w:after="120"/>
        <w:ind w:hanging="0"/>
        <w:contextualSpacing w:val="false"/>
        <w:jc w:val="center"/>
        <w:rPr>
          <w:i/>
          <w:i/>
          <w:sz w:val="24"/>
        </w:rPr>
      </w:pPr>
      <w:r>
        <w:rPr>
          <w:i/>
          <w:sz w:val="24"/>
        </w:rPr>
        <w:t>Московский государственный университет имени М.В.Ломоносова</w:t>
      </w:r>
    </w:p>
    <w:p>
      <w:pPr>
        <w:pStyle w:val="Style14"/>
        <w:tabs>
          <w:tab w:val="clear" w:pos="709"/>
          <w:tab w:val="left" w:pos="426" w:leader="none"/>
        </w:tabs>
        <w:spacing w:lineRule="auto" w:line="240" w:before="0" w:after="120"/>
        <w:ind w:hanging="0"/>
        <w:contextualSpacing w:val="false"/>
        <w:jc w:val="center"/>
        <w:rPr>
          <w:i/>
          <w:i/>
          <w:sz w:val="24"/>
        </w:rPr>
      </w:pPr>
      <w:r>
        <w:rPr>
          <w:i/>
          <w:sz w:val="24"/>
        </w:rPr>
        <w:t>Физический факультет, Москва, Россия</w:t>
      </w:r>
    </w:p>
    <w:p>
      <w:pPr>
        <w:pStyle w:val="Style14"/>
        <w:tabs>
          <w:tab w:val="clear" w:pos="709"/>
          <w:tab w:val="left" w:pos="426" w:leader="none"/>
        </w:tabs>
        <w:spacing w:lineRule="auto" w:line="240" w:before="0" w:after="120"/>
        <w:ind w:hanging="0"/>
        <w:contextualSpacing w:val="false"/>
        <w:jc w:val="center"/>
        <w:rPr>
          <w:i/>
          <w:i/>
          <w:sz w:val="24"/>
        </w:rPr>
      </w:pPr>
      <w:r>
        <w:rPr>
          <w:i/>
          <w:sz w:val="24"/>
          <w:lang w:val="en-US"/>
        </w:rPr>
        <w:t>E</w:t>
      </w:r>
      <w:r>
        <w:rPr>
          <w:i/>
          <w:sz w:val="24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</w:rPr>
        <w:t xml:space="preserve">: </w:t>
      </w:r>
      <w:r>
        <w:rPr>
          <w:i/>
          <w:sz w:val="24"/>
          <w:vertAlign w:val="superscript"/>
        </w:rPr>
        <w:t>1</w:t>
      </w:r>
      <w:hyperlink r:id="rId2">
        <w:r>
          <w:rPr>
            <w:rStyle w:val="Hyperlink"/>
            <w:i/>
            <w:color w:val="000000"/>
            <w:sz w:val="24"/>
            <w:u w:val="none"/>
            <w:lang w:val="en-US"/>
          </w:rPr>
          <w:t>anyamistashka</w:t>
        </w:r>
        <w:r>
          <w:rPr>
            <w:rStyle w:val="Hyperlink"/>
            <w:i/>
            <w:color w:val="000000"/>
            <w:sz w:val="24"/>
            <w:u w:val="none"/>
          </w:rPr>
          <w:t>@</w:t>
        </w:r>
        <w:r>
          <w:rPr>
            <w:rStyle w:val="Hyperlink"/>
            <w:i/>
            <w:color w:val="000000"/>
            <w:sz w:val="24"/>
            <w:u w:val="none"/>
            <w:lang w:val="en-US"/>
          </w:rPr>
          <w:t>mail</w:t>
        </w:r>
        <w:r>
          <w:rPr>
            <w:rStyle w:val="Hyperlink"/>
            <w:i/>
            <w:color w:val="000000"/>
            <w:sz w:val="24"/>
            <w:u w:val="none"/>
          </w:rPr>
          <w:t>.</w:t>
        </w:r>
        <w:r>
          <w:rPr>
            <w:rStyle w:val="Hyperlink"/>
            <w:i/>
            <w:color w:val="000000"/>
            <w:sz w:val="24"/>
            <w:u w:val="none"/>
            <w:lang w:val="en-US"/>
          </w:rPr>
          <w:t>ru</w:t>
        </w:r>
      </w:hyperlink>
      <w:r>
        <w:rPr>
          <w:rStyle w:val="Hyperlink"/>
          <w:i/>
          <w:color w:val="000000"/>
          <w:sz w:val="24"/>
          <w:u w:val="none"/>
        </w:rPr>
        <w:t xml:space="preserve">, </w:t>
      </w:r>
      <w:r>
        <w:rPr>
          <w:rStyle w:val="Hyperlink"/>
          <w:i/>
          <w:color w:val="000000"/>
          <w:sz w:val="24"/>
          <w:u w:val="none"/>
          <w:vertAlign w:val="superscript"/>
        </w:rPr>
        <w:t>2</w:t>
      </w:r>
      <w:hyperlink r:id="rId3">
        <w:r>
          <w:rPr>
            <w:rStyle w:val="Hyperlink"/>
            <w:i/>
            <w:sz w:val="24"/>
          </w:rPr>
          <w:t>sakharovp@mail.ru</w:t>
        </w:r>
      </w:hyperlink>
    </w:p>
    <w:p>
      <w:pPr>
        <w:pStyle w:val="Style14"/>
        <w:tabs>
          <w:tab w:val="clear" w:pos="709"/>
          <w:tab w:val="left" w:pos="426" w:leader="none"/>
        </w:tabs>
        <w:spacing w:lineRule="auto" w:line="240" w:before="0" w:after="120"/>
        <w:ind w:firstLine="426"/>
        <w:contextualSpacing w:val="false"/>
        <w:rPr>
          <w:color w:val="000000"/>
        </w:rPr>
      </w:pPr>
      <w:r>
        <w:rPr>
          <w:color w:val="000000"/>
          <w:sz w:val="24"/>
        </w:rPr>
        <w:t xml:space="preserve">Геотермальная энергия представляет собой одну из наиболее перспективных форм возобновляемой энергии, использующей тепло, добываемое из недр Земли. С учетом истощения невозобновляемых энергетических ресурсов она становится важным элементом перехода к более чистым и устойчивым источникам энергии. </w:t>
      </w:r>
    </w:p>
    <w:p>
      <w:pPr>
        <w:pStyle w:val="Style14"/>
        <w:tabs>
          <w:tab w:val="clear" w:pos="709"/>
          <w:tab w:val="left" w:pos="426" w:leader="none"/>
        </w:tabs>
        <w:spacing w:lineRule="auto" w:line="240" w:before="0" w:after="120"/>
        <w:ind w:firstLine="426"/>
        <w:contextualSpacing w:val="false"/>
        <w:rPr>
          <w:color w:val="000000"/>
        </w:rPr>
      </w:pPr>
      <w:r>
        <w:rPr>
          <w:color w:val="000000"/>
          <w:sz w:val="24"/>
        </w:rPr>
        <w:t xml:space="preserve">Основной проблемой, влияющей на экономическую жизнеспособность геотермальных систем и ограничивающей срок службы теплооборудования, а следовательно, препятствующей высокоэффективному извлечению энергии, является отложение аморфного кремнезема </w:t>
      </w:r>
      <w:r>
        <w:rPr>
          <w:color w:val="000000"/>
          <w:sz w:val="24"/>
        </w:rPr>
        <w:t>из</w:t>
      </w:r>
      <w:r>
        <w:rPr>
          <w:color w:val="000000"/>
          <w:sz w:val="24"/>
        </w:rPr>
        <w:t xml:space="preserve"> геотермальной жидкости (теплоносител</w:t>
      </w:r>
      <w:r>
        <w:rPr>
          <w:color w:val="000000"/>
          <w:sz w:val="24"/>
        </w:rPr>
        <w:t>я</w:t>
      </w:r>
      <w:r>
        <w:rPr>
          <w:color w:val="000000"/>
          <w:sz w:val="24"/>
        </w:rPr>
        <w:t xml:space="preserve">) при поднятии её из добывающей скважины [1, 2, 4]. </w:t>
      </w:r>
    </w:p>
    <w:p>
      <w:pPr>
        <w:pStyle w:val="Style14"/>
        <w:tabs>
          <w:tab w:val="clear" w:pos="709"/>
          <w:tab w:val="left" w:pos="426" w:leader="none"/>
        </w:tabs>
        <w:spacing w:lineRule="auto" w:line="240" w:before="0" w:after="120"/>
        <w:ind w:firstLine="426"/>
        <w:contextualSpacing w:val="false"/>
        <w:rPr>
          <w:color w:val="000000"/>
        </w:rPr>
      </w:pPr>
      <w:r>
        <w:rPr>
          <w:color w:val="000000"/>
          <w:sz w:val="24"/>
        </w:rPr>
        <w:t>Потенциал осаждения зависит от различных факторов таких, как химический состав (концентраци</w:t>
      </w:r>
      <w:r>
        <w:rPr>
          <w:color w:val="000000"/>
          <w:sz w:val="24"/>
        </w:rPr>
        <w:t>и</w:t>
      </w:r>
      <w:r>
        <w:rPr>
          <w:color w:val="000000"/>
          <w:sz w:val="24"/>
        </w:rPr>
        <w:t xml:space="preserve"> ионов) и </w:t>
      </w:r>
      <w:r>
        <w:rPr>
          <w:color w:val="000000"/>
          <w:sz w:val="24"/>
          <w:lang w:val="en-US"/>
        </w:rPr>
        <w:t>pH</w:t>
      </w:r>
      <w:r>
        <w:rPr>
          <w:color w:val="000000"/>
          <w:sz w:val="24"/>
        </w:rPr>
        <w:t xml:space="preserve"> геотермального флюида, давление и температура. На больших глубинах подземные воды обычно недонасыщены по отношению к аморфному кремнезему, однако, поднимаясь вверх и охлаждаясь, его растворимость снижается, а жидкость становится пересыщенной, в следствии чего кремнезем </w:t>
      </w:r>
      <w:r>
        <w:rPr>
          <w:color w:val="000000"/>
          <w:sz w:val="24"/>
        </w:rPr>
        <w:t>выпадает</w:t>
      </w:r>
      <w:r>
        <w:rPr>
          <w:color w:val="000000"/>
          <w:sz w:val="24"/>
        </w:rPr>
        <w:t xml:space="preserve"> в виде накипи или коллоидов [1]. Подобная проблема наблюдается в скважинах и на оборудовании Мутновского вулканического района [3].</w:t>
      </w:r>
    </w:p>
    <w:p>
      <w:pPr>
        <w:pStyle w:val="Style14"/>
        <w:tabs>
          <w:tab w:val="clear" w:pos="709"/>
          <w:tab w:val="left" w:pos="426" w:leader="none"/>
        </w:tabs>
        <w:spacing w:lineRule="auto" w:line="240" w:before="0" w:after="120"/>
        <w:ind w:firstLine="426"/>
        <w:contextualSpacing w:val="false"/>
        <w:rPr>
          <w:color w:val="000000"/>
        </w:rPr>
      </w:pPr>
      <w:r>
        <w:rPr>
          <w:color w:val="000000"/>
          <w:sz w:val="24"/>
        </w:rPr>
        <w:t xml:space="preserve">В настоящей работе </w:t>
      </w:r>
      <w:r>
        <w:rPr>
          <w:color w:val="000000"/>
          <w:sz w:val="24"/>
        </w:rPr>
        <w:t>численно</w:t>
      </w:r>
      <w:r>
        <w:rPr>
          <w:color w:val="000000"/>
          <w:sz w:val="24"/>
        </w:rPr>
        <w:t xml:space="preserve"> моделируются химические процессы, происходящие в геотермальных растворах скважин Мутновского месторождения. Расчеты проводятся в гидрогеохимическом пакете (симуляторе) </w:t>
      </w:r>
      <w:r>
        <w:rPr>
          <w:color w:val="000000"/>
          <w:sz w:val="24"/>
          <w:lang w:val="en-US"/>
        </w:rPr>
        <w:t>PHREEQC</w:t>
      </w:r>
      <w:r>
        <w:rPr>
          <w:color w:val="000000"/>
          <w:sz w:val="24"/>
        </w:rPr>
        <w:t>, который позволяет моделировать протекание равновесных процессов растворения и осаждения минералов в водных растворах. Для моделирования выбирается</w:t>
      </w:r>
      <w:r>
        <w:rPr>
          <w:color w:val="000000"/>
          <w:sz w:val="24"/>
        </w:rPr>
        <w:t xml:space="preserve"> подходящая база данных </w:t>
      </w:r>
      <w:r>
        <w:rPr>
          <w:color w:val="000000"/>
          <w:sz w:val="24"/>
        </w:rPr>
        <w:t>минералов</w:t>
      </w:r>
      <w:r>
        <w:rPr>
          <w:color w:val="000000"/>
          <w:sz w:val="24"/>
        </w:rPr>
        <w:t xml:space="preserve"> на основе наличия требуемых химических элементов и возможности работы с условиями высоких давлений и температур. </w:t>
      </w:r>
      <w:r>
        <w:rPr>
          <w:color w:val="000000"/>
          <w:sz w:val="24"/>
        </w:rPr>
        <w:t>Оценивается возможность</w:t>
      </w:r>
      <w:r>
        <w:rPr>
          <w:color w:val="000000"/>
          <w:sz w:val="24"/>
        </w:rPr>
        <w:t xml:space="preserve"> выпадения </w:t>
      </w:r>
      <w:r>
        <w:rPr>
          <w:color w:val="000000"/>
          <w:sz w:val="24"/>
        </w:rPr>
        <w:t>различных</w:t>
      </w:r>
      <w:r>
        <w:rPr>
          <w:color w:val="000000"/>
          <w:sz w:val="24"/>
        </w:rPr>
        <w:t xml:space="preserve"> минералов в осадок, а также оценивается количество </w:t>
      </w:r>
      <w:r>
        <w:rPr>
          <w:color w:val="000000"/>
          <w:sz w:val="24"/>
        </w:rPr>
        <w:t>осадка</w:t>
      </w:r>
      <w:r>
        <w:rPr>
          <w:color w:val="000000"/>
          <w:sz w:val="24"/>
        </w:rPr>
        <w:t xml:space="preserve"> (в частности аморфного кремнезема). Выводы о </w:t>
      </w:r>
      <w:r>
        <w:rPr>
          <w:color w:val="000000"/>
          <w:sz w:val="24"/>
        </w:rPr>
        <w:t>возможности</w:t>
      </w:r>
      <w:r>
        <w:rPr>
          <w:color w:val="000000"/>
          <w:sz w:val="24"/>
        </w:rPr>
        <w:t xml:space="preserve"> осаждения минералов </w:t>
      </w:r>
      <w:r>
        <w:rPr>
          <w:color w:val="000000"/>
          <w:sz w:val="24"/>
        </w:rPr>
        <w:t>из</w:t>
      </w:r>
      <w:r>
        <w:rPr>
          <w:color w:val="000000"/>
          <w:sz w:val="24"/>
        </w:rPr>
        <w:t xml:space="preserve"> геотермальной жидкости, производятся на основе получаемых значений их индексов насыщения.</w:t>
      </w:r>
    </w:p>
    <w:p>
      <w:pPr>
        <w:pStyle w:val="Style14"/>
        <w:tabs>
          <w:tab w:val="clear" w:pos="709"/>
          <w:tab w:val="left" w:pos="426" w:leader="none"/>
        </w:tabs>
        <w:spacing w:lineRule="auto" w:line="240" w:before="0" w:after="120"/>
        <w:ind w:firstLine="426"/>
        <w:contextualSpacing w:val="false"/>
        <w:rPr>
          <w:sz w:val="24"/>
        </w:rPr>
      </w:pPr>
      <w:r>
        <w:rPr>
          <w:sz w:val="24"/>
        </w:rPr>
      </w:r>
    </w:p>
    <w:p>
      <w:pPr>
        <w:pStyle w:val="Style14"/>
        <w:tabs>
          <w:tab w:val="clear" w:pos="709"/>
          <w:tab w:val="left" w:pos="426" w:leader="none"/>
        </w:tabs>
        <w:spacing w:lineRule="auto" w:line="240" w:before="0" w:after="120"/>
        <w:ind w:firstLine="426"/>
        <w:contextualSpacing w:val="false"/>
        <w:rPr/>
      </w:pPr>
      <w:r>
        <w:rPr/>
      </w:r>
    </w:p>
    <w:p>
      <w:pPr>
        <w:pStyle w:val="Style14"/>
        <w:tabs>
          <w:tab w:val="clear" w:pos="709"/>
          <w:tab w:val="left" w:pos="426" w:leader="none"/>
        </w:tabs>
        <w:spacing w:lineRule="auto" w:line="240" w:before="0" w:after="120"/>
        <w:ind w:firstLine="426"/>
        <w:contextualSpacing w:val="false"/>
        <w:rPr>
          <w:b/>
          <w:sz w:val="24"/>
          <w:lang w:val="en-US"/>
        </w:rPr>
      </w:pPr>
      <w:r>
        <w:rPr>
          <w:b/>
          <w:sz w:val="24"/>
        </w:rPr>
        <w:t>Литература</w:t>
      </w:r>
    </w:p>
    <w:p>
      <w:pPr>
        <w:pStyle w:val="Style14"/>
        <w:tabs>
          <w:tab w:val="left" w:pos="426" w:leader="none"/>
          <w:tab w:val="left" w:pos="709" w:leader="none"/>
        </w:tabs>
        <w:spacing w:lineRule="auto" w:line="240" w:before="0" w:after="120"/>
        <w:ind w:firstLine="426"/>
        <w:contextualSpacing w:val="false"/>
        <w:rPr>
          <w:sz w:val="24"/>
          <w:lang w:val="en-US"/>
        </w:rPr>
      </w:pPr>
      <w:r>
        <w:rPr>
          <w:sz w:val="24"/>
          <w:lang w:val="en-US"/>
        </w:rPr>
        <w:t>1. Yung Ngothai, Daniel Lane, Gideon Kuncoro, Norio Yanagisawa, Peter Rose, and Allan Pring Effect of Geothermal Brine Properties on Silica Scaling in Enhanced Geothermal Systems // GRC Transactions, Vol. 36, 2012.</w:t>
      </w:r>
    </w:p>
    <w:p>
      <w:pPr>
        <w:pStyle w:val="Style14"/>
        <w:tabs>
          <w:tab w:val="left" w:pos="426" w:leader="none"/>
          <w:tab w:val="left" w:pos="709" w:leader="none"/>
        </w:tabs>
        <w:spacing w:lineRule="auto" w:line="240" w:before="0" w:after="120"/>
        <w:ind w:firstLine="426"/>
        <w:contextualSpacing w:val="false"/>
        <w:rPr>
          <w:sz w:val="24"/>
          <w:lang w:val="en-US"/>
        </w:rPr>
      </w:pPr>
      <w:r>
        <w:rPr>
          <w:sz w:val="24"/>
          <w:lang w:val="en-US"/>
        </w:rPr>
        <w:t xml:space="preserve">2. Setiawan, F.A., Rahayuningsih, E., Petrus, H.T.B.M. et al. Kinetics of silica precipitation in geothermal brine with seeds addition: minimizing silica scaling in a cold re injection system // Geotherm Energy 7, 22 (2019). https://doi.org/10.1186/s40517-019-0138-3 </w:t>
      </w:r>
    </w:p>
    <w:p>
      <w:pPr>
        <w:pStyle w:val="Style14"/>
        <w:tabs>
          <w:tab w:val="left" w:pos="426" w:leader="none"/>
          <w:tab w:val="left" w:pos="709" w:leader="none"/>
        </w:tabs>
        <w:spacing w:lineRule="auto" w:line="240" w:before="0" w:after="120"/>
        <w:ind w:firstLine="426"/>
        <w:contextualSpacing w:val="false"/>
        <w:rPr>
          <w:sz w:val="24"/>
        </w:rPr>
      </w:pPr>
      <w:r>
        <w:rPr>
          <w:sz w:val="24"/>
        </w:rPr>
        <w:t xml:space="preserve">3. В.В. Потапов, Г.М. Мин, В.А. Горбач Исследование физико-химических характеристик твердых отложений коллоидного кремнезема в скважинах, теплооборудовании ГеоЭС // Вестник камчатГту. – 2012. </w:t>
      </w:r>
    </w:p>
    <w:p>
      <w:pPr>
        <w:pStyle w:val="Style14"/>
        <w:tabs>
          <w:tab w:val="left" w:pos="426" w:leader="none"/>
          <w:tab w:val="left" w:pos="709" w:leader="none"/>
        </w:tabs>
        <w:spacing w:lineRule="auto" w:line="240" w:before="0" w:after="120"/>
        <w:ind w:firstLine="426"/>
        <w:contextualSpacing w:val="false"/>
        <w:rPr>
          <w:sz w:val="24"/>
          <w:lang w:val="en-US"/>
        </w:rPr>
      </w:pPr>
      <w:r>
        <w:rPr>
          <w:sz w:val="24"/>
          <w:lang w:val="en-US"/>
        </w:rPr>
        <w:t>4. Pierce Kunan, Guillaume Ravier, Eléonore Dalmais, Marion Ducousso, Pierre Cezac Thermodynamic and Kinetic Modelling of Scales Formation at the Soultz-sous-Forêts Geothermal Power Plant // Geosciences 2021, 11, 483. https://doi.org/10.3390/geosciences11120483</w:t>
      </w:r>
    </w:p>
    <w:sectPr>
      <w:type w:val="nextPage"/>
      <w:pgSz w:w="11906" w:h="16838"/>
      <w:pgMar w:left="1361" w:right="1361" w:gutter="0" w:header="0" w:top="1134" w:footer="0" w:bottom="12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7c3a"/>
    <w:pPr>
      <w:widowControl/>
      <w:suppressAutoHyphens w:val="true"/>
      <w:bidi w:val="0"/>
      <w:spacing w:before="0" w:after="0"/>
      <w:ind w:firstLine="397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Style14"/>
    <w:next w:val="Normal"/>
    <w:link w:val="1"/>
    <w:uiPriority w:val="9"/>
    <w:qFormat/>
    <w:rsid w:val="00df0e79"/>
    <w:pPr>
      <w:keepNext w:val="true"/>
      <w:keepLines/>
      <w:spacing w:before="240" w:after="120"/>
      <w:contextualSpacing w:val="false"/>
      <w:jc w:val="center"/>
      <w:outlineLvl w:val="0"/>
    </w:pPr>
    <w:rPr>
      <w:rFonts w:eastAsia="" w:cs="" w:cstheme="majorBidi" w:eastAsiaTheme="majorEastAsia"/>
      <w:b/>
      <w:color w:val="auto"/>
      <w:sz w:val="32"/>
      <w:szCs w:val="32"/>
    </w:rPr>
  </w:style>
  <w:style w:type="paragraph" w:styleId="Heading2">
    <w:name w:val="heading 2"/>
    <w:basedOn w:val="Style14"/>
    <w:next w:val="Style14"/>
    <w:link w:val="2"/>
    <w:uiPriority w:val="9"/>
    <w:unhideWhenUsed/>
    <w:qFormat/>
    <w:rsid w:val="00df0e79"/>
    <w:pPr>
      <w:keepNext w:val="true"/>
      <w:keepLines/>
      <w:spacing w:before="40" w:after="120"/>
      <w:contextualSpacing w:val="false"/>
      <w:jc w:val="left"/>
      <w:outlineLvl w:val="1"/>
    </w:pPr>
    <w:rPr>
      <w:rFonts w:eastAsia="" w:cs="" w:cstheme="majorBidi" w:eastAsiaTheme="majorEastAsia"/>
      <w:b/>
      <w:szCs w:val="26"/>
    </w:rPr>
  </w:style>
  <w:style w:type="paragraph" w:styleId="Heading3">
    <w:name w:val="heading 3"/>
    <w:basedOn w:val="Style14"/>
    <w:next w:val="Style14"/>
    <w:link w:val="3"/>
    <w:uiPriority w:val="9"/>
    <w:unhideWhenUsed/>
    <w:qFormat/>
    <w:rsid w:val="00be799a"/>
    <w:pPr>
      <w:keepNext w:val="true"/>
      <w:keepLines/>
      <w:spacing w:before="40" w:after="120"/>
      <w:contextualSpacing w:val="false"/>
      <w:outlineLvl w:val="2"/>
    </w:pPr>
    <w:rPr>
      <w:rFonts w:eastAsia="" w:cs="" w:cstheme="majorBidi" w:eastAsiaTheme="majorEastAsia"/>
      <w:b/>
      <w:color w:val="auto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нр Знак"/>
    <w:basedOn w:val="DefaultParagraphFont"/>
    <w:link w:val="Style14"/>
    <w:qFormat/>
    <w:rsid w:val="00c7716a"/>
    <w:rPr>
      <w:rFonts w:ascii="Times New Roman" w:hAnsi="Times New Roman"/>
      <w:color w:themeColor="text1" w:val="000000"/>
      <w:sz w:val="28"/>
    </w:rPr>
  </w:style>
  <w:style w:type="character" w:styleId="1" w:customStyle="1">
    <w:name w:val="Заголовок 1 Знак"/>
    <w:basedOn w:val="DefaultParagraphFont"/>
    <w:uiPriority w:val="9"/>
    <w:qFormat/>
    <w:rsid w:val="00df0e79"/>
    <w:rPr>
      <w:rFonts w:ascii="Times New Roman" w:hAnsi="Times New Roman" w:eastAsia="" w:cs="" w:cstheme="majorBidi" w:eastAsiaTheme="majorEastAsia"/>
      <w:b/>
      <w:sz w:val="32"/>
      <w:szCs w:val="32"/>
    </w:rPr>
  </w:style>
  <w:style w:type="character" w:styleId="2" w:customStyle="1">
    <w:name w:val="Заголовок 2 Знак"/>
    <w:basedOn w:val="DefaultParagraphFont"/>
    <w:uiPriority w:val="9"/>
    <w:qFormat/>
    <w:rsid w:val="00df0e79"/>
    <w:rPr>
      <w:rFonts w:ascii="Times New Roman" w:hAnsi="Times New Roman" w:eastAsia="" w:cs="" w:cstheme="majorBidi" w:eastAsiaTheme="majorEastAsia"/>
      <w:b/>
      <w:color w:themeColor="text1" w:val="000000"/>
      <w:sz w:val="28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be799a"/>
    <w:rPr>
      <w:rFonts w:ascii="Times New Roman" w:hAnsi="Times New Roman" w:eastAsia="" w:cs="" w:cstheme="majorBidi" w:eastAsiaTheme="majorEastAsia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7c3a"/>
    <w:rPr>
      <w:color w:themeColor="hyperlink" w:val="0563C1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yle13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14" w:customStyle="1">
    <w:name w:val="тнр"/>
    <w:basedOn w:val="Normal"/>
    <w:link w:val="Style11"/>
    <w:qFormat/>
    <w:rsid w:val="00c7716a"/>
    <w:pPr>
      <w:tabs>
        <w:tab w:val="clear" w:pos="708"/>
        <w:tab w:val="left" w:pos="709" w:leader="none"/>
      </w:tabs>
      <w:spacing w:lineRule="auto" w:line="360" w:before="0" w:after="0"/>
      <w:ind w:firstLine="709"/>
      <w:contextualSpacing/>
    </w:pPr>
    <w:rPr>
      <w:rFonts w:ascii="Times New Roman" w:hAnsi="Times New Roman"/>
      <w:color w:themeColor="text1" w:val="000000"/>
      <w:sz w:val="28"/>
    </w:rPr>
  </w:style>
  <w:style w:type="numbering" w:styleId="Style15" w:customStyle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yamistashka@mail.ru" TargetMode="External"/><Relationship Id="rId3" Type="http://schemas.openxmlformats.org/officeDocument/2006/relationships/hyperlink" Target="mailto:sakharovp@mail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Application>LibreOffice/24.8.4.2$Windows_X86_64 LibreOffice_project/bb3cfa12c7b1bf994ecc5649a80400d06cd71002</Application>
  <AppVersion>15.0000</AppVersion>
  <Pages>2</Pages>
  <Words>376</Words>
  <Characters>2821</Characters>
  <CharactersWithSpaces>3188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2024-02-04T11:47:00Z</dcterms:created>
  <dc:creator>user</dc:creator>
  <dc:description/>
  <dc:language>ru-RU</dc:language>
  <cp:lastModifiedBy/>
  <cp:lastPrinted>2024-02-06T13:00:00Z</cp:lastPrinted>
  <dcterms:modified xsi:type="dcterms:W3CDTF">2025-02-22T10:17:23Z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