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right="-45" w:firstLine="405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Влияние наработки интерлейкина 1β тромбоцитами на процесс тромбообразования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in vitro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0" w:right="-45" w:firstLine="40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Тимошин Г.С.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0" w:right="-45" w:firstLine="405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сотрудник</w:t>
      </w:r>
    </w:p>
    <w:p w:rsidR="00000000" w:rsidDel="00000000" w:rsidP="00000000" w:rsidRDefault="00000000" w:rsidRPr="00000000" w14:paraId="00000004">
      <w:pPr>
        <w:spacing w:after="200" w:line="240" w:lineRule="auto"/>
        <w:ind w:left="0" w:right="-45" w:firstLine="405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имени М.В.Ломоносова, </w:t>
        <w:br w:type="textWrapping"/>
        <w:t xml:space="preserve">Физический факультет, Москва, Россия</w:t>
      </w:r>
    </w:p>
    <w:p w:rsidR="00000000" w:rsidDel="00000000" w:rsidP="00000000" w:rsidRDefault="00000000" w:rsidRPr="00000000" w14:paraId="00000005">
      <w:pPr>
        <w:spacing w:after="200" w:line="240" w:lineRule="auto"/>
        <w:ind w:left="0" w:right="-45" w:firstLine="40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Центp теоpетичеcкиx проблем физико-химической фармакологии РАН, Москва, Россия</w:t>
        <w:br w:type="textWrapping"/>
        <w:t xml:space="preserve">E–mail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timoshin.gs19@physics.msu.ru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5" w:firstLine="4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Анализ механизмов тромбовоспаления является одной из актуальных задач на стыке гематологии и иммунологии. Одно из важных направлений исследований в данной области связано с изучением роли инфламмасомы NLRP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механизмах взаимной активации двух процессов – гемостатического ответа и воспаления, и, в частности, ее влияние на тромбообразование. Ранее при помощи мышиных моделей было показано, что ингибирование работы NLRP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тромбоцитах приводило к нарушению контракции и роста артериальных тромбов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 vivo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а также к увеличению времени до остановки кровотечения [1]. Было предположено, что NLRP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-зависимая наработка IL-1β тромбоцитами необходима для нормального тромбообразования, в частности, реализуемого через рецептор IL-1R тромбоцитов. Однако, вклад NLRP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-зависимой наработки IL-1β в процессах тромбообразования в организме человека остается предметом исследования.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5" w:firstLine="4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5" w:firstLine="4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помощью разработанной ранее микрофлюидной модели тромбоза был проведен анализ наличия эффектов от ингибирования NLRP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-зависимой наработки IL-1β на процесс тромбообразования 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крови человека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Для данного исследования был разработан экспериментальный протокол с использованием вещества Z-YVAD-FMK (N-Benzyloxycarbonyl-Tyr-Val-Ala-Asp(OMe)-fluoromethylketone), которое, специфически блокируя каспазу-1, является опосредованным ингибитором NLRP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-зависимой наработки IL-1β.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5" w:firstLine="4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5" w:firstLine="4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Результаты экспериментов показали, что ингибирование каспазы-1 не влияет на контракцию тромбов в случае тромбообразования на коллагене первого типа при скорости сдвига 1000 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-1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случае ингибирования активности тромбина за счет гирудина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Также были проанализированы другие характеристики роста тромбов – площадь покрытия тромбоцитами активационной подложки и высота вырастающих тромбов. Площадь покрытия оставалась неизменной при ингибировании наработки IL-1β, однако наблюдалось статистически значимое уменьшение высоты тромбов на небольшую величину, соответствующую потере двух слоев тромбоцитов.</w:t>
      </w:r>
    </w:p>
    <w:p w:rsidR="00000000" w:rsidDel="00000000" w:rsidP="00000000" w:rsidRDefault="00000000" w:rsidRPr="00000000" w14:paraId="0000000B">
      <w:pPr>
        <w:spacing w:line="240" w:lineRule="auto"/>
        <w:ind w:left="0" w:right="-45" w:firstLine="405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5" w:firstLine="4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результаты экспериментов показали, что ингибирование каспазы-1 приводит к минимальным эффектам на тромбообразование в крови человека в случае ингибирования активности тромбина, поэтому вклад NLRP3-зависимой наработки IL-1β в артериальное тромбообразование требует дополнительных исследований.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5" w:firstLine="4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0" w:right="-45" w:firstLine="4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Работа выполнена при поддержке гранта РНФ 23-44-00082.</w:t>
      </w:r>
    </w:p>
    <w:p w:rsidR="00000000" w:rsidDel="00000000" w:rsidP="00000000" w:rsidRDefault="00000000" w:rsidRPr="00000000" w14:paraId="0000000F">
      <w:pPr>
        <w:spacing w:line="240" w:lineRule="auto"/>
        <w:ind w:left="0" w:right="-45" w:firstLine="4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0" w:right="-45" w:firstLine="40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40" w:lineRule="auto"/>
        <w:ind w:left="0" w:right="-45" w:firstLine="405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0" w:right="-4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0" w:right="-45" w:firstLine="4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Qiao J., et al. NLRP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regulates platelet integrin αIIbβ3 outside-in signaling, hemostasis and arterial thrombosis // Haematologica. 2018. 103(9):1568–1576.</w:t>
      </w:r>
    </w:p>
    <w:sectPr>
      <w:pgSz w:h="15840" w:w="12240" w:orient="portrait"/>
      <w:pgMar w:bottom="1518.8976377952763" w:top="1133.858267716535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