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4"/>
        </w:tabs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Анализ влияния сульфатированных тирозинов в составе гликопротеина (GPIb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) на адгезию с тромбином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Агарков Е.М.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Беляев А.В.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superscript"/>
          <w:rtl w:val="0"/>
        </w:rPr>
        <w:t xml:space="preserve">2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superscript"/>
          <w:rtl w:val="0"/>
        </w:rPr>
        <w:t xml:space="preserve">1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студент,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superscript"/>
          <w:rtl w:val="0"/>
        </w:rPr>
        <w:t xml:space="preserve">2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старший научный сотрудник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Московский государственный университет имени М.В.Ломоносова, </w:t>
        <w:br w:type="textWrapping"/>
        <w:t xml:space="preserve">физический факультет, Москва, Россия</w:t>
        <w:br w:type="textWrapping"/>
        <w:t xml:space="preserve">E–mail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egor1598741@mail.ru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aleksey_belyaev@physics.msu.ru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Адгезия тромбоцитов крови к субэндотелию является начальным этапом гемостаза и тромбообразования. Этот процесс включает нековалентное связывание белка фактора фон Виллебранда (vWF) с гликопротеиновым комплексом GPIb-V-IX на поверхности тромбоцитов. Из литературы известно, что белок клеточной адгезии GPIbα содержит участки для связывания как с vWF, так и с α-тромбином. Оба участка локализованы в пределах N-концевого фрагмента массой 45 кДа [1]. Существующие данные масс-спектрометрии свидетельствуют о том, что in vivo аминокислотные остатки тирозин-278 и тирозин-279 в составе белка GPIbα  сульфатированы как минимум в 90% случаев, а тирозин-276 примерно в 50%. Было сделано предположение, что сульфатированные тирозины и анионные аминокислотные остатки GPIbα способны к адгезии тромбина [1] и могут приводить к активации тромбоцитов тромбином по альтернативному пути, не связанному с PAR-рецепторами [2]. Кроме того, адгезия тромбина к  рецепторам GPIb оказывать влияние на скорость распространения тромбина в тромбоцитарном агрегате. Целью настоящей работы является уточнение биофизических представлений о взаимодействии тромбина с тромбоцитами в процессе клеточного гемостаза.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397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137321</wp:posOffset>
            </wp:positionH>
            <wp:positionV relativeFrom="paragraph">
              <wp:posOffset>276255</wp:posOffset>
            </wp:positionV>
            <wp:extent cx="2770346" cy="2652459"/>
            <wp:effectExtent b="0" l="0" r="0" t="0"/>
            <wp:wrapSquare wrapText="bothSides" distB="152400" distT="152400" distL="152400" distR="152400"/>
            <wp:docPr descr="Снимок экрана 2025-03-02 в 18.14.18.png" id="1" name="image2.png"/>
            <a:graphic>
              <a:graphicData uri="http://schemas.openxmlformats.org/drawingml/2006/picture">
                <pic:pic>
                  <pic:nvPicPr>
                    <pic:cNvPr descr="Снимок экрана 2025-03-02 в 18.14.18.png"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770346" cy="265245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52400" distT="152400" distL="152400" distR="152400" hidden="0" layoutInCell="1" locked="0" relativeHeight="0" simplePos="0">
            <wp:simplePos x="0" y="0"/>
            <wp:positionH relativeFrom="column">
              <wp:posOffset>3171825</wp:posOffset>
            </wp:positionH>
            <wp:positionV relativeFrom="paragraph">
              <wp:posOffset>180975</wp:posOffset>
            </wp:positionV>
            <wp:extent cx="2572400" cy="2747305"/>
            <wp:effectExtent b="0" l="0" r="0" t="0"/>
            <wp:wrapSquare wrapText="bothSides" distB="152400" distT="152400" distL="152400" distR="152400"/>
            <wp:docPr descr="Снимок экрана 2025-03-02 в 18.21.52.png" id="2" name="image1.png"/>
            <a:graphic>
              <a:graphicData uri="http://schemas.openxmlformats.org/drawingml/2006/picture">
                <pic:pic>
                  <pic:nvPicPr>
                    <pic:cNvPr descr="Снимок экрана 2025-03-02 в 18.21.52.png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2400" cy="274730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Рис. 1. Структура гликопротеина GPIbα с сульфатированными тирозинами в комплексе с тромбином в двух известных экзосайтах (PDB 1ook – слева  и 1p8v – справа).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В настоящей работе с использованием методов молекулярного моделирования выполнен анализ влияния сульфатированных тирозинов на адгезию тромбина к двум  экзосайтам связывания с тромбоцитарным рецептором GPIbα. Проводится полноатомное моделирование динамики системы в программе GROMACS (версия 2020.6) в условиях раствора белка при температуре 310К и атмосферном давлении для трех конформаций системы. Так как в стандартных силовых полях не описано взаимодействие для сульфатированных тирозинов, было изменено силовое поле amber99sb, которое учитывает эти изменения (amber99sb—tys). Для воды использована стандартная модель TIP3P. Для продуктивных расчетов в использованы термостат перемасштабирования скоростей и баростат Паринелло-Рахмана. Перед симуляцией последовательно проводились этапы минимизации энергии системы (методом наискорейшего спуска), а также термостатирование и баростатирование  системы до достижения целевых средних значений температуры, давления и плотности. При этом фиксировались положения тяжелых атомов белка, чтобы предотвратить анфолдинг в процессе уравновешивания системы [3]. После этого проводились продуктивные расчеты без ограничений движений атомов.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Начальные структуры белковых комплексов GPIb-тромбин, полученные экспериментально методом рентгеноструктурного анализа, были взяты из базы данных Protein Data Bank (PDB 1ook, 1p8v, 3pmh) [4]. Проведено моделирование динамики белка в равновесных условиях в течение 10 нс модельного времени для каждой из конформаций.  Из молекулярно-динамических траекторий системы были определены среднеквадратичное отклонение структуры и начальной (RMSD) как функция времени, среднеквадратичная флуктуация каждого альфа-углерода в пептидной цепи (RMSF) как функция от номера аминокислоты [3].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Выявлены аминокислотные остатки, ответственные за прикрепление тромбина к GPIb. Показано, что легкая цепь тромбина не образует водородных связей с GPIb. Для всех трех конформаций не обнаружено солевых мостиков с участием сульфотирозинов  в пределах радиуса взаимодействия 3.2 ангстрем. Во всех случаях  сульфотирозины локализовались вблизи подвижного неупорядоченного участка тяжелой цепи тромбина. Для  структур  (3pmh и 1p8v) в ходе моделирования были обнаружены короткоживущие водородные связи с участием сульфотирозинов С-концевого участка белка GPIb, причем акцепторами являлись кислороды сульфатной группы сульфотирозина, а донорами — азоты основной цепи белка тромбина. Как видно из результатов моделирования, сульфтирозины   участвуют во взаимодействии с тяжелой цепью тромбина. В случае структуры 1ook непосредственных водородных связей и солевых мостиков между тромбином и сульфотирозинами не обнаружено. Тем не менее, сульфатирование тирозинов 276 и 279 влияет на конформацию и подвижность C-концевого фрагмента GPIb и косвенно влияет на адгезию тромбина к тромбоцитам.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426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Литература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C.M.Ward et al. Mocarhagin, a Novel Cobra Venom Metalloproteinase, Cleaves the Platelet von Willebrand Factor Receptor Glycoprotein Ibα. Identification of the Sulfated Tyrosine/Anionic Sequence Tyr-276-Glu-282 of Glycoprotein Ibα as a Binding Site for von Willebrand Factor and α-Thrombin // Biochemistry, vol. 35, pp. 4929-4938 (1996).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J. J. Dumas et al. Crystal Structure of the GpIb α -Thrombin Complex Essential for Platelet Aggregation // Science, vol. 301 , p. 222 (2003).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color w:val="000000"/>
          <w:sz w:val="24"/>
          <w:szCs w:val="24"/>
          <w:u w:val="none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https://www.gromacs.org/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/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0"/>
            <w:i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https://www.rcsb.org/structure/</w:t>
        </w:r>
      </w:hyperlink>
      <w:r w:rsidDel="00000000" w:rsidR="00000000" w:rsidRPr="00000000">
        <w:rPr>
          <w:rtl w:val="0"/>
        </w:rPr>
      </w:r>
    </w:p>
    <w:sectPr>
      <w:headerReference r:id="rId12" w:type="default"/>
      <w:footerReference r:id="rId13" w:type="default"/>
      <w:pgSz w:h="16840" w:w="11900" w:orient="portrait"/>
      <w:pgMar w:bottom="1247" w:top="1134" w:left="1361" w:right="1361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right" w:leader="none" w:pos="9020"/>
      </w:tabs>
      <w:spacing w:after="0" w:before="0" w:line="240" w:lineRule="auto"/>
      <w:ind w:left="0" w:right="0" w:firstLine="0"/>
      <w:jc w:val="left"/>
      <w:rPr>
        <w:rFonts w:ascii="Helvetica Neue" w:cs="Helvetica Neue" w:eastAsia="Helvetica Neue" w:hAnsi="Helvetica Neue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smallCaps w:val="0"/>
        <w:strike w:val="0"/>
        <w:shd w:fill="auto" w:val="clear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smallCaps w:val="0"/>
        <w:strike w:val="0"/>
        <w:shd w:fill="auto" w:val="clear"/>
        <w:vertAlign w:val="baseline"/>
      </w:rPr>
    </w:lvl>
    <w:lvl w:ilvl="2">
      <w:start w:val="1"/>
      <w:numFmt w:val="decimal"/>
      <w:lvlText w:val="%3."/>
      <w:lvlJc w:val="left"/>
      <w:pPr>
        <w:ind w:left="1800" w:hanging="360"/>
      </w:pPr>
      <w:rPr>
        <w:smallCaps w:val="0"/>
        <w:strike w:val="0"/>
        <w:shd w:fill="auto" w:val="clear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smallCaps w:val="0"/>
        <w:strike w:val="0"/>
        <w:shd w:fill="auto" w:val="clear"/>
        <w:vertAlign w:val="baseline"/>
      </w:rPr>
    </w:lvl>
    <w:lvl w:ilvl="4">
      <w:start w:val="1"/>
      <w:numFmt w:val="decimal"/>
      <w:lvlText w:val="%5."/>
      <w:lvlJc w:val="left"/>
      <w:pPr>
        <w:ind w:left="3240" w:hanging="360"/>
      </w:pPr>
      <w:rPr>
        <w:smallCaps w:val="0"/>
        <w:strike w:val="0"/>
        <w:shd w:fill="auto" w:val="clear"/>
        <w:vertAlign w:val="baseline"/>
      </w:rPr>
    </w:lvl>
    <w:lvl w:ilvl="5">
      <w:start w:val="1"/>
      <w:numFmt w:val="decimal"/>
      <w:lvlText w:val="%6."/>
      <w:lvlJc w:val="left"/>
      <w:pPr>
        <w:ind w:left="3960" w:hanging="360"/>
      </w:pPr>
      <w:rPr>
        <w:smallCaps w:val="0"/>
        <w:strike w:val="0"/>
        <w:shd w:fill="auto" w:val="clear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smallCaps w:val="0"/>
        <w:strike w:val="0"/>
        <w:shd w:fill="auto" w:val="clear"/>
        <w:vertAlign w:val="baseline"/>
      </w:rPr>
    </w:lvl>
    <w:lvl w:ilvl="7">
      <w:start w:val="1"/>
      <w:numFmt w:val="decimal"/>
      <w:lvlText w:val="%8."/>
      <w:lvlJc w:val="left"/>
      <w:pPr>
        <w:ind w:left="5400" w:hanging="360"/>
      </w:pPr>
      <w:rPr>
        <w:smallCaps w:val="0"/>
        <w:strike w:val="0"/>
        <w:shd w:fill="auto" w:val="clear"/>
        <w:vertAlign w:val="baseline"/>
      </w:rPr>
    </w:lvl>
    <w:lvl w:ilvl="8">
      <w:start w:val="1"/>
      <w:numFmt w:val="decimal"/>
      <w:lvlText w:val="%9."/>
      <w:lvlJc w:val="left"/>
      <w:pPr>
        <w:ind w:left="6120" w:hanging="360"/>
      </w:pPr>
      <w:rPr>
        <w:smallCaps w:val="0"/>
        <w:strike w:val="0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rcsb.org/structure/" TargetMode="External"/><Relationship Id="rId10" Type="http://schemas.openxmlformats.org/officeDocument/2006/relationships/hyperlink" Target="https://www.gromacs.org/" TargetMode="External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hyperlink" Target="mailto:egor1598741@mail.ru" TargetMode="External"/><Relationship Id="rId7" Type="http://schemas.openxmlformats.org/officeDocument/2006/relationships/hyperlink" Target="mailto:aleksey_belyaev@physics.msu.ru" TargetMode="External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