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D24C" w14:textId="3E449312" w:rsidR="00EB5501" w:rsidRPr="005A7473" w:rsidRDefault="005A7473">
      <w:pPr>
        <w:pStyle w:val="10"/>
        <w:rPr>
          <w:sz w:val="24"/>
          <w:szCs w:val="24"/>
        </w:rPr>
      </w:pPr>
      <w:r w:rsidRPr="005A7473">
        <w:rPr>
          <w:sz w:val="24"/>
          <w:szCs w:val="24"/>
        </w:rPr>
        <w:t xml:space="preserve">Оценка эффективности и акцептанса прототипа </w:t>
      </w:r>
      <w:r w:rsidR="00F005CC" w:rsidRPr="005A7473">
        <w:rPr>
          <w:sz w:val="24"/>
          <w:szCs w:val="24"/>
        </w:rPr>
        <w:t>высокогранулярного</w:t>
      </w:r>
      <w:r w:rsidR="008E5E6B" w:rsidRPr="005A7473">
        <w:rPr>
          <w:sz w:val="24"/>
          <w:szCs w:val="24"/>
        </w:rPr>
        <w:t xml:space="preserve"> времяпролетного нейтронного детектора</w:t>
      </w:r>
      <w:r w:rsidRPr="005A7473">
        <w:rPr>
          <w:sz w:val="24"/>
          <w:szCs w:val="24"/>
        </w:rPr>
        <w:t xml:space="preserve"> </w:t>
      </w:r>
      <w:r w:rsidRPr="005A7473">
        <w:rPr>
          <w:sz w:val="24"/>
          <w:szCs w:val="24"/>
          <w:lang w:val="en-US"/>
        </w:rPr>
        <w:t>HGND</w:t>
      </w:r>
      <w:r w:rsidR="008E5E6B" w:rsidRPr="005A7473">
        <w:rPr>
          <w:sz w:val="24"/>
          <w:szCs w:val="24"/>
        </w:rPr>
        <w:t xml:space="preserve"> в эксперименте BM@N</w:t>
      </w:r>
    </w:p>
    <w:p w14:paraId="1CA3735F" w14:textId="235D03B3" w:rsidR="00EB5501" w:rsidRPr="005A7473" w:rsidRDefault="00000000">
      <w:pPr>
        <w:pStyle w:val="11"/>
        <w:rPr>
          <w:b w:val="0"/>
          <w:bCs/>
          <w:i w:val="0"/>
          <w:vertAlign w:val="superscript"/>
        </w:rPr>
      </w:pPr>
      <w:bookmarkStart w:id="0" w:name="_Toc435091269"/>
      <w:r w:rsidRPr="005A7473">
        <w:t>Зубанков</w:t>
      </w:r>
      <w:r w:rsidR="00D67596" w:rsidRPr="005A7473">
        <w:t xml:space="preserve"> А</w:t>
      </w:r>
      <w:r w:rsidR="00D67596" w:rsidRPr="005A7473">
        <w:rPr>
          <w:i w:val="0"/>
        </w:rPr>
        <w:t>.</w:t>
      </w:r>
      <w:r w:rsidR="00D67596" w:rsidRPr="005A7473">
        <w:t>А</w:t>
      </w:r>
      <w:r w:rsidR="00D67596" w:rsidRPr="005A7473">
        <w:rPr>
          <w:i w:val="0"/>
        </w:rPr>
        <w:t>.</w:t>
      </w:r>
      <w:bookmarkStart w:id="1" w:name="_Hlk158383806"/>
      <w:r w:rsidRPr="005A7473">
        <w:rPr>
          <w:b w:val="0"/>
          <w:bCs/>
          <w:i w:val="0"/>
          <w:vertAlign w:val="superscript"/>
        </w:rPr>
        <w:t>1,2</w:t>
      </w:r>
      <w:bookmarkEnd w:id="0"/>
      <w:bookmarkEnd w:id="1"/>
    </w:p>
    <w:p w14:paraId="219EB9D1" w14:textId="65FC6168" w:rsidR="00D67596" w:rsidRPr="005A7473" w:rsidRDefault="00103221">
      <w:pPr>
        <w:pStyle w:val="11"/>
        <w:rPr>
          <w:b w:val="0"/>
          <w:bCs/>
        </w:rPr>
      </w:pPr>
      <w:r w:rsidRPr="005A7473">
        <w:rPr>
          <w:b w:val="0"/>
          <w:bCs/>
        </w:rPr>
        <w:t>Инженер</w:t>
      </w:r>
      <w:r w:rsidR="00D67596" w:rsidRPr="005A7473">
        <w:rPr>
          <w:b w:val="0"/>
          <w:bCs/>
          <w:i w:val="0"/>
          <w:vertAlign w:val="superscript"/>
        </w:rPr>
        <w:t>1</w:t>
      </w:r>
      <w:r w:rsidR="00D67596" w:rsidRPr="005A7473">
        <w:rPr>
          <w:b w:val="0"/>
          <w:bCs/>
        </w:rPr>
        <w:t>, аспирант</w:t>
      </w:r>
      <w:r w:rsidR="00D67596" w:rsidRPr="005A7473">
        <w:rPr>
          <w:b w:val="0"/>
          <w:bCs/>
          <w:i w:val="0"/>
          <w:vertAlign w:val="superscript"/>
        </w:rPr>
        <w:t>2</w:t>
      </w:r>
    </w:p>
    <w:p w14:paraId="458DBB1C" w14:textId="5A9D0F72" w:rsidR="00EB5501" w:rsidRPr="005A7473" w:rsidRDefault="00000000">
      <w:pPr>
        <w:pStyle w:val="12"/>
        <w:rPr>
          <w:i/>
          <w:iCs/>
          <w:sz w:val="24"/>
          <w:szCs w:val="24"/>
        </w:rPr>
      </w:pPr>
      <w:r w:rsidRPr="005A7473">
        <w:rPr>
          <w:i/>
          <w:iCs/>
          <w:sz w:val="24"/>
          <w:szCs w:val="24"/>
          <w:vertAlign w:val="superscript"/>
        </w:rPr>
        <w:t>1</w:t>
      </w:r>
      <w:r w:rsidRPr="005A7473">
        <w:rPr>
          <w:i/>
          <w:iCs/>
          <w:sz w:val="24"/>
          <w:szCs w:val="24"/>
        </w:rPr>
        <w:t>Институт ядерных исследований РАН</w:t>
      </w:r>
      <w:r w:rsidR="00D67596" w:rsidRPr="005A7473">
        <w:rPr>
          <w:i/>
          <w:iCs/>
          <w:sz w:val="24"/>
          <w:szCs w:val="24"/>
        </w:rPr>
        <w:t xml:space="preserve">, </w:t>
      </w:r>
      <w:r w:rsidR="001E5DFE" w:rsidRPr="005A7473">
        <w:rPr>
          <w:i/>
          <w:iCs/>
          <w:sz w:val="24"/>
          <w:szCs w:val="24"/>
        </w:rPr>
        <w:t xml:space="preserve">Отдел экспериментальной физики, </w:t>
      </w:r>
      <w:r w:rsidR="00D67596" w:rsidRPr="005A7473">
        <w:rPr>
          <w:i/>
          <w:iCs/>
          <w:sz w:val="24"/>
          <w:szCs w:val="24"/>
        </w:rPr>
        <w:t>Москва, Россия</w:t>
      </w:r>
      <w:r w:rsidRPr="005A7473">
        <w:rPr>
          <w:i/>
          <w:iCs/>
          <w:sz w:val="24"/>
          <w:szCs w:val="24"/>
        </w:rPr>
        <w:br/>
      </w:r>
      <w:r w:rsidRPr="005A7473">
        <w:rPr>
          <w:i/>
          <w:iCs/>
          <w:sz w:val="24"/>
          <w:szCs w:val="24"/>
          <w:vertAlign w:val="superscript"/>
        </w:rPr>
        <w:t>2</w:t>
      </w:r>
      <w:r w:rsidRPr="005A7473">
        <w:rPr>
          <w:i/>
          <w:iCs/>
          <w:sz w:val="24"/>
          <w:szCs w:val="24"/>
        </w:rPr>
        <w:t>Национальный исследовательский ядерный университет «МИФИ»</w:t>
      </w:r>
      <w:r w:rsidR="00D67596" w:rsidRPr="005A7473">
        <w:rPr>
          <w:i/>
          <w:iCs/>
          <w:sz w:val="24"/>
          <w:szCs w:val="24"/>
        </w:rPr>
        <w:t>, Институт ядерной физики и технологий, Москва, Россия</w:t>
      </w:r>
    </w:p>
    <w:p w14:paraId="412DC9A2" w14:textId="54A247E7" w:rsidR="00D67596" w:rsidRPr="005A7473" w:rsidRDefault="00103221">
      <w:pPr>
        <w:pStyle w:val="12"/>
        <w:rPr>
          <w:i/>
          <w:iCs/>
          <w:sz w:val="24"/>
          <w:szCs w:val="24"/>
        </w:rPr>
      </w:pPr>
      <w:r w:rsidRPr="005A7473">
        <w:rPr>
          <w:i/>
          <w:iCs/>
          <w:sz w:val="24"/>
          <w:szCs w:val="24"/>
          <w:lang w:val="en-US"/>
        </w:rPr>
        <w:t>E</w:t>
      </w:r>
      <w:r w:rsidRPr="005A7473">
        <w:rPr>
          <w:i/>
          <w:iCs/>
          <w:sz w:val="24"/>
          <w:szCs w:val="24"/>
        </w:rPr>
        <w:t>–</w:t>
      </w:r>
      <w:r w:rsidRPr="005A7473">
        <w:rPr>
          <w:i/>
          <w:iCs/>
          <w:sz w:val="24"/>
          <w:szCs w:val="24"/>
          <w:lang w:val="en-US"/>
        </w:rPr>
        <w:t>mail</w:t>
      </w:r>
      <w:r w:rsidRPr="005A7473">
        <w:rPr>
          <w:i/>
          <w:iCs/>
          <w:sz w:val="24"/>
          <w:szCs w:val="24"/>
        </w:rPr>
        <w:t xml:space="preserve">: </w:t>
      </w:r>
      <w:r w:rsidR="00D67596" w:rsidRPr="005A7473">
        <w:rPr>
          <w:i/>
          <w:iCs/>
          <w:sz w:val="24"/>
          <w:szCs w:val="24"/>
          <w:lang w:val="en-US"/>
        </w:rPr>
        <w:t>zubankov</w:t>
      </w:r>
      <w:r w:rsidR="00D67596" w:rsidRPr="005A7473">
        <w:rPr>
          <w:i/>
          <w:iCs/>
          <w:sz w:val="24"/>
          <w:szCs w:val="24"/>
        </w:rPr>
        <w:t>@</w:t>
      </w:r>
      <w:r w:rsidR="00D67596" w:rsidRPr="005A7473">
        <w:rPr>
          <w:i/>
          <w:iCs/>
          <w:sz w:val="24"/>
          <w:szCs w:val="24"/>
          <w:lang w:val="en-US"/>
        </w:rPr>
        <w:t>inr</w:t>
      </w:r>
      <w:r w:rsidR="00D67596" w:rsidRPr="005A7473">
        <w:rPr>
          <w:i/>
          <w:iCs/>
          <w:sz w:val="24"/>
          <w:szCs w:val="24"/>
        </w:rPr>
        <w:t>.</w:t>
      </w:r>
      <w:r w:rsidR="00D67596" w:rsidRPr="005A7473">
        <w:rPr>
          <w:i/>
          <w:iCs/>
          <w:sz w:val="24"/>
          <w:szCs w:val="24"/>
          <w:lang w:val="en-US"/>
        </w:rPr>
        <w:t>ru</w:t>
      </w:r>
    </w:p>
    <w:p w14:paraId="16EA1E87" w14:textId="2EF03375" w:rsidR="005A7473" w:rsidRPr="005A7473" w:rsidRDefault="005A7473" w:rsidP="005A7473">
      <w:pPr>
        <w:ind w:firstLine="397"/>
        <w:jc w:val="both"/>
      </w:pPr>
      <w:r w:rsidRPr="005A7473">
        <w:t>Высокогранулярный времяпролетный нейтронный детектор High</w:t>
      </w:r>
      <w:r>
        <w:rPr>
          <w:lang w:val="en-US"/>
        </w:rPr>
        <w:t>ly</w:t>
      </w:r>
      <w:r w:rsidRPr="005A7473">
        <w:t xml:space="preserve"> Granular Neutron Detector (HGND) [1] эксперимента Baryonic Matter at Nuclotron (BM@N) [2] разрабатывается и изготавливается в ИЯИ РАН для идентификации нейтронов, образующихся в ядерно-ядерных столкновениях, и измерения кинетических энергий нейтронов в диапазоне 0,3-4 ГэВ методом времяпролетного анализа в эксперименте BM@N на ускорительном комплексе NICA. Детектор будет состоять из чередующихся пластин поглотителя и сцинтиллятора с высокой поперечной гранулярностью и временным разрешением около 150 пс. </w:t>
      </w:r>
    </w:p>
    <w:p w14:paraId="2EA1D20C" w14:textId="38430BF0" w:rsidR="005A7473" w:rsidRPr="005A7473" w:rsidRDefault="005A7473" w:rsidP="005A7473">
      <w:pPr>
        <w:ind w:firstLine="397"/>
        <w:jc w:val="both"/>
      </w:pPr>
      <w:r w:rsidRPr="005A7473">
        <w:t>BM@N – первый действующий эксперимент с фиксированной мишенью ускорительного комплекса NICA на выведенном пучке Нуклотрона ОИЯИ. Исследовательская программа эксперимента BM@N нацелена на исследование уравнения состояния (EoS) ядерной материи при больших барионных плотностях, достигаемых в ядро-ядерных столкновениях при энергиях ионов пучка до 4,65А ГэВ [3]. Уравнение состояния включает в себя член энергии симметрии, характеризующий изоспиновую асимметрию ядерной материи, которая важна для изучения свойств астрофизических объектов, таких как нейтронные звезды [4]. Отношение выходов и потоков нейтронов к протонам является чувствительным к вкладу энергии симметрии в уравнение состояния ядерной материи [5]. Чтобы обеспечить эксперимент BM@N возможностью измерять выходы не только протонов (с помощью детекторов TOF и FHCal), но и нейтронов, разрабатывается HGND.</w:t>
      </w:r>
    </w:p>
    <w:p w14:paraId="1103E842" w14:textId="23C96788" w:rsidR="005A7473" w:rsidRPr="005A7473" w:rsidRDefault="005A7473" w:rsidP="005A7473">
      <w:pPr>
        <w:ind w:firstLine="397"/>
        <w:jc w:val="both"/>
      </w:pPr>
      <w:r w:rsidRPr="005A7473">
        <w:t>Для проверки концепции полномасштабного HGND был разработан компактный прототип HGND и испытан в сеансе эксперимента BM@N. Конструкция прототипа HGND включает в себя продольную сегментацию на 15 чередующихся слоев поглотителя и сцинтиллятора и поперечную сегментацию на сцинтилляционные ячейки матрицей 3 × 3 размером 40 × 40 × 25 мм</w:t>
      </w:r>
      <w:r w:rsidRPr="00FF79A6">
        <w:rPr>
          <w:vertAlign w:val="superscript"/>
        </w:rPr>
        <w:t>3</w:t>
      </w:r>
      <w:r w:rsidRPr="005A7473">
        <w:t>. Первый сцинтилляционный слой используется в качестве вето для идентификации заряженных частиц и не имеет перед собой поглотителя. Первая часть прототипа HGND общей радиационной длиной около 7,5 X</w:t>
      </w:r>
      <w:r w:rsidRPr="00842D58">
        <w:rPr>
          <w:vertAlign w:val="subscript"/>
        </w:rPr>
        <w:t>0</w:t>
      </w:r>
      <w:r w:rsidRPr="005A7473">
        <w:t xml:space="preserve"> состоит из первых 5 слоев после вето-слоя, в которых в качестве поглотителя используются пластины из свинца толщиной 8 мм. Вторая часть прототипа состоит из оставшихся 9 слоев с медным поглотителем толщиной 30 мм. Общая длина детектора в единицах ядерных длин составляет около 2,5 λ</w:t>
      </w:r>
      <w:r w:rsidRPr="00FF79A6">
        <w:rPr>
          <w:vertAlign w:val="subscript"/>
        </w:rPr>
        <w:t>int</w:t>
      </w:r>
      <w:r w:rsidRPr="005A7473">
        <w:t>, что позволяет эффективно детектировать нейтроны. Свет с каждой считывается отдельным MPPC Hamamatsu S13360-6050PE c чувствительной площадью 6 × 6 мм</w:t>
      </w:r>
      <w:r w:rsidRPr="00FF79A6">
        <w:rPr>
          <w:vertAlign w:val="superscript"/>
        </w:rPr>
        <w:t>2</w:t>
      </w:r>
      <w:r w:rsidRPr="005A7473">
        <w:t>, размером пикселя 50 мкм, общим числом пикселей 14400, коэффициентом усиления 1,7 × 10</w:t>
      </w:r>
      <w:r w:rsidRPr="00FF79A6">
        <w:rPr>
          <w:vertAlign w:val="superscript"/>
        </w:rPr>
        <w:t>6</w:t>
      </w:r>
      <w:r w:rsidRPr="005A7473">
        <w:t xml:space="preserve"> и PDE 40%. Время и амплитуда сигнала считываются модулями время-цифрового преобразователя TQDC.</w:t>
      </w:r>
    </w:p>
    <w:p w14:paraId="5DF1F3E8" w14:textId="039CA42A" w:rsidR="005A7473" w:rsidRPr="005A7473" w:rsidRDefault="005A7473" w:rsidP="005A7473">
      <w:pPr>
        <w:ind w:firstLine="397"/>
        <w:jc w:val="both"/>
      </w:pPr>
      <w:r w:rsidRPr="005A7473">
        <w:t xml:space="preserve">Акцептанс прототипа HGND в положении 0,7 градусов к пучку и эффективность детектирования нейтронов, испускаемых при адронной фрагментации и электромагнитной диссоциации (ЭМД) пучка </w:t>
      </w:r>
      <w:r w:rsidRPr="004D2AC9">
        <w:rPr>
          <w:vertAlign w:val="superscript"/>
        </w:rPr>
        <w:t>124</w:t>
      </w:r>
      <w:r w:rsidRPr="005A7473">
        <w:t xml:space="preserve">Xe с энергией 3,8А ГэВ, взаимодействующих с мишенью CsI, были рассчитаны с помощью моделей DCM-QGSM-SMM и UrQMD-AMC в случае адронной фрагментации и RELDIS в случае ЭМД. </w:t>
      </w:r>
      <w:r w:rsidRPr="005A7473">
        <w:lastRenderedPageBreak/>
        <w:t xml:space="preserve">Эффективность и акцептанс из адронных моделей в среднем составили 42,94±0,18±3,53% и 2,94±0,01±0,44% соответственно, а из ЭМД – 39,41±0,20% и 3,37±0,02%. Спектры кинетической энергии нейтронов были измерены и сравнены с результатами моделирования на рис. 1. </w:t>
      </w:r>
    </w:p>
    <w:p w14:paraId="4C93B03D" w14:textId="4AFE7BA9" w:rsidR="005A7473" w:rsidRPr="005A7473" w:rsidRDefault="005A7473" w:rsidP="005A7473">
      <w:pPr>
        <w:ind w:firstLine="397"/>
        <w:jc w:val="both"/>
      </w:pPr>
      <w:r w:rsidRPr="005A7473">
        <w:t>ЭМД релятивистского пучка в эксперименте BM@N может быть использована в качестве источника высоко-коллимированных нейтронов с множественностью близкой к единице на событие. Разработанные в работе методы будут использованы для калибровки полномасштабного HGND и изучения его эффективности.</w:t>
      </w:r>
    </w:p>
    <w:p w14:paraId="36651BDF" w14:textId="724417E4" w:rsidR="008E5E6B" w:rsidRPr="005A7473" w:rsidRDefault="008E5E6B" w:rsidP="008E5E6B">
      <w:pPr>
        <w:keepNext/>
        <w:jc w:val="center"/>
      </w:pPr>
    </w:p>
    <w:p w14:paraId="72C50683" w14:textId="4EE291BC" w:rsidR="00443862" w:rsidRPr="005A7473" w:rsidRDefault="00085966" w:rsidP="008E5E6B">
      <w:pPr>
        <w:keepNext/>
        <w:jc w:val="center"/>
      </w:pPr>
      <w:r>
        <w:rPr>
          <w:noProof/>
        </w:rPr>
        <w:drawing>
          <wp:inline distT="0" distB="0" distL="0" distR="0" wp14:anchorId="332AEBB7" wp14:editId="115D1F9E">
            <wp:extent cx="2760608" cy="1871787"/>
            <wp:effectExtent l="0" t="0" r="1905" b="0"/>
            <wp:docPr id="8344566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41" cy="188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4E7B2" wp14:editId="31C5EE8B">
            <wp:extent cx="2752463" cy="1866265"/>
            <wp:effectExtent l="0" t="0" r="0" b="635"/>
            <wp:docPr id="2534485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75" cy="18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125A" w14:textId="647A0857" w:rsidR="008E5E6B" w:rsidRPr="005A7473" w:rsidRDefault="008E5E6B" w:rsidP="005A7473">
      <w:pPr>
        <w:pStyle w:val="a9"/>
        <w:jc w:val="both"/>
        <w:rPr>
          <w:rFonts w:cs="Times New Roman"/>
          <w:i w:val="0"/>
          <w:iCs w:val="0"/>
        </w:rPr>
      </w:pPr>
      <w:r w:rsidRPr="005A7473">
        <w:rPr>
          <w:rFonts w:cs="Times New Roman"/>
          <w:i w:val="0"/>
          <w:iCs w:val="0"/>
        </w:rPr>
        <w:t xml:space="preserve">Рис. </w:t>
      </w:r>
      <w:r w:rsidRPr="005A7473">
        <w:rPr>
          <w:rFonts w:cs="Times New Roman"/>
          <w:i w:val="0"/>
          <w:iCs w:val="0"/>
        </w:rPr>
        <w:fldChar w:fldCharType="begin"/>
      </w:r>
      <w:r w:rsidRPr="005A7473">
        <w:rPr>
          <w:rFonts w:cs="Times New Roman"/>
          <w:i w:val="0"/>
          <w:iCs w:val="0"/>
        </w:rPr>
        <w:instrText xml:space="preserve"> SEQ Рис. \* ARABIC </w:instrText>
      </w:r>
      <w:r w:rsidRPr="005A7473">
        <w:rPr>
          <w:rFonts w:cs="Times New Roman"/>
          <w:i w:val="0"/>
          <w:iCs w:val="0"/>
        </w:rPr>
        <w:fldChar w:fldCharType="separate"/>
      </w:r>
      <w:r w:rsidRPr="005A7473">
        <w:rPr>
          <w:rFonts w:cs="Times New Roman"/>
          <w:i w:val="0"/>
          <w:iCs w:val="0"/>
          <w:noProof/>
        </w:rPr>
        <w:t>1</w:t>
      </w:r>
      <w:r w:rsidRPr="005A7473">
        <w:rPr>
          <w:rFonts w:cs="Times New Roman"/>
          <w:i w:val="0"/>
          <w:iCs w:val="0"/>
        </w:rPr>
        <w:fldChar w:fldCharType="end"/>
      </w:r>
      <w:r w:rsidRPr="005A7473">
        <w:rPr>
          <w:rFonts w:cs="Times New Roman"/>
          <w:i w:val="0"/>
          <w:iCs w:val="0"/>
        </w:rPr>
        <w:t xml:space="preserve">. </w:t>
      </w:r>
      <w:r w:rsidR="005A7473" w:rsidRPr="005A7473">
        <w:rPr>
          <w:rFonts w:cs="Times New Roman"/>
          <w:i w:val="0"/>
          <w:iCs w:val="0"/>
        </w:rPr>
        <w:t xml:space="preserve">Смоделированные (гистограммы) и измеренные (точки) распределения реконструированной по времени пролета кинетической энергии нейтронов от адронной фрагментации (слева) и ЭМД (справа) 3.8A ГэВ </w:t>
      </w:r>
      <w:r w:rsidR="005A7473" w:rsidRPr="004D2AC9">
        <w:rPr>
          <w:rFonts w:cs="Times New Roman"/>
          <w:i w:val="0"/>
          <w:iCs w:val="0"/>
          <w:vertAlign w:val="superscript"/>
        </w:rPr>
        <w:t>124</w:t>
      </w:r>
      <w:r w:rsidR="005A7473" w:rsidRPr="005A7473">
        <w:rPr>
          <w:rFonts w:cs="Times New Roman"/>
          <w:i w:val="0"/>
          <w:iCs w:val="0"/>
        </w:rPr>
        <w:t>Xe на мишени CsI. Систематические неопределенности измерений представлены пунктирными рамками. Объединенные статистические и систематические неопределенности показаны столбиками ошибок.</w:t>
      </w:r>
    </w:p>
    <w:p w14:paraId="45AC7E7B" w14:textId="77777777" w:rsidR="00EB5501" w:rsidRPr="005A7473" w:rsidRDefault="00EB5501" w:rsidP="00672BF3">
      <w:pPr>
        <w:jc w:val="both"/>
      </w:pPr>
    </w:p>
    <w:p w14:paraId="53450E36" w14:textId="7BD97DDB" w:rsidR="005475DD" w:rsidRPr="005A7473" w:rsidRDefault="00000000" w:rsidP="00672BF3">
      <w:pPr>
        <w:pStyle w:val="13"/>
      </w:pPr>
      <w:r w:rsidRPr="005A7473">
        <w:t>Литература</w:t>
      </w:r>
    </w:p>
    <w:p w14:paraId="2139D8C2" w14:textId="200E5BDA" w:rsidR="006461DA" w:rsidRPr="006461DA" w:rsidRDefault="00836F70" w:rsidP="006D778E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6461DA">
        <w:rPr>
          <w:rFonts w:ascii="Times New Roman" w:hAnsi="Times New Roman" w:cs="Times New Roman"/>
          <w:lang w:val="en-US"/>
        </w:rPr>
        <w:t>Guber, F. et al. Development of High Granular Neutron Time-of-Flight Detector for the BM@N experiment</w:t>
      </w:r>
      <w:r w:rsidR="004E4DF8" w:rsidRPr="006461DA">
        <w:rPr>
          <w:rFonts w:ascii="Times New Roman" w:hAnsi="Times New Roman" w:cs="Times New Roman"/>
          <w:lang w:val="en-US"/>
        </w:rPr>
        <w:t xml:space="preserve"> //</w:t>
      </w:r>
      <w:r w:rsidRPr="006461DA">
        <w:rPr>
          <w:rFonts w:ascii="Times New Roman" w:hAnsi="Times New Roman" w:cs="Times New Roman"/>
          <w:lang w:val="en-US" w:eastAsia="ru-RU"/>
        </w:rPr>
        <w:t xml:space="preserve"> </w:t>
      </w:r>
      <w:r w:rsidR="006461DA" w:rsidRPr="006461DA">
        <w:rPr>
          <w:rFonts w:ascii="Times New Roman" w:hAnsi="Times New Roman" w:cs="Times New Roman"/>
          <w:lang w:val="en-US" w:eastAsia="ru-RU"/>
        </w:rPr>
        <w:t>Experiment. Instrum. Exp. Tech., 67(3), 447–456 (2024).</w:t>
      </w:r>
    </w:p>
    <w:p w14:paraId="6600969D" w14:textId="01D69C61" w:rsidR="005A7473" w:rsidRPr="006461DA" w:rsidRDefault="005475DD" w:rsidP="006D778E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6461DA">
        <w:rPr>
          <w:rFonts w:ascii="Times New Roman" w:hAnsi="Times New Roman" w:cs="Times New Roman"/>
          <w:lang w:val="en-US"/>
        </w:rPr>
        <w:t>Kapishin</w:t>
      </w:r>
      <w:r w:rsidR="006E14EF" w:rsidRPr="006461DA">
        <w:rPr>
          <w:rFonts w:ascii="Times New Roman" w:hAnsi="Times New Roman" w:cs="Times New Roman"/>
          <w:lang w:val="en-US"/>
        </w:rPr>
        <w:t>,</w:t>
      </w:r>
      <w:r w:rsidRPr="006461DA">
        <w:rPr>
          <w:rFonts w:ascii="Times New Roman" w:hAnsi="Times New Roman" w:cs="Times New Roman"/>
          <w:lang w:val="en-US"/>
        </w:rPr>
        <w:t xml:space="preserve"> M. Studies of baryonic matter in the BM@N and MPD experiments at Nuclotron/NICA // PoS(CORFU2018)188 (2019).</w:t>
      </w:r>
    </w:p>
    <w:p w14:paraId="634D7A34" w14:textId="2C002F1D" w:rsidR="005A7473" w:rsidRPr="005A7473" w:rsidRDefault="005A7473" w:rsidP="005A7473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5A7473">
        <w:rPr>
          <w:rFonts w:ascii="Times New Roman" w:hAnsi="Times New Roman" w:cs="Times New Roman"/>
          <w:lang w:val="en-US"/>
        </w:rPr>
        <w:t xml:space="preserve">Mamaev M.. Baryonic Matter @ Nuclotron: Upgrade and Physics Program Overview // Phys. Atom. Nuclei, 86, 1346–1353 (2023). </w:t>
      </w:r>
    </w:p>
    <w:p w14:paraId="12479788" w14:textId="50BADEBF" w:rsidR="005A7473" w:rsidRPr="005A7473" w:rsidRDefault="005A7473" w:rsidP="005A7473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5A7473">
        <w:rPr>
          <w:rFonts w:ascii="Times New Roman" w:hAnsi="Times New Roman" w:cs="Times New Roman"/>
          <w:lang w:val="en-US"/>
        </w:rPr>
        <w:t xml:space="preserve">Steiner A.W. [et al.]. Isospin asymmetry in nuclei and neutron stars // Phys. Rep., 411(6), 325–375 (2005). </w:t>
      </w:r>
    </w:p>
    <w:p w14:paraId="66B1059D" w14:textId="3C96264E" w:rsidR="005A7473" w:rsidRPr="005A7473" w:rsidRDefault="005A7473" w:rsidP="005A7473">
      <w:pPr>
        <w:pStyle w:val="ab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lang w:val="en-US" w:eastAsia="ru-RU"/>
        </w:rPr>
      </w:pPr>
      <w:r w:rsidRPr="005A7473">
        <w:rPr>
          <w:rFonts w:ascii="Times New Roman" w:hAnsi="Times New Roman" w:cs="Times New Roman"/>
          <w:lang w:val="en-US"/>
        </w:rPr>
        <w:t xml:space="preserve">Long X.-X., Wei G.-F.. Effects of incompressibility K0 in heavy-ion collisions at intermediate energies. // Phys. Rev. C, 109(5): 054619 (2024). </w:t>
      </w:r>
    </w:p>
    <w:sectPr w:rsidR="005A7473" w:rsidRPr="005A7473" w:rsidSect="00085966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522A"/>
    <w:multiLevelType w:val="multilevel"/>
    <w:tmpl w:val="CFE62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91F92"/>
    <w:multiLevelType w:val="multilevel"/>
    <w:tmpl w:val="BDF6110C"/>
    <w:lvl w:ilvl="0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A05681A"/>
    <w:multiLevelType w:val="multilevel"/>
    <w:tmpl w:val="D53AC1C6"/>
    <w:lvl w:ilvl="0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16471986">
    <w:abstractNumId w:val="1"/>
  </w:num>
  <w:num w:numId="2" w16cid:durableId="2015716578">
    <w:abstractNumId w:val="2"/>
  </w:num>
  <w:num w:numId="3" w16cid:durableId="1699812413">
    <w:abstractNumId w:val="0"/>
  </w:num>
  <w:num w:numId="4" w16cid:durableId="801583199">
    <w:abstractNumId w:val="2"/>
    <w:lvlOverride w:ilvl="0">
      <w:startOverride w:val="1"/>
    </w:lvlOverride>
  </w:num>
  <w:num w:numId="5" w16cid:durableId="2780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01"/>
    <w:rsid w:val="00007510"/>
    <w:rsid w:val="00035A16"/>
    <w:rsid w:val="000563CF"/>
    <w:rsid w:val="00063B5C"/>
    <w:rsid w:val="00085966"/>
    <w:rsid w:val="00097BC0"/>
    <w:rsid w:val="000E413E"/>
    <w:rsid w:val="00102FEA"/>
    <w:rsid w:val="00103221"/>
    <w:rsid w:val="00110843"/>
    <w:rsid w:val="00116781"/>
    <w:rsid w:val="00121F32"/>
    <w:rsid w:val="00141A06"/>
    <w:rsid w:val="00141BFF"/>
    <w:rsid w:val="001E5DFE"/>
    <w:rsid w:val="002153E1"/>
    <w:rsid w:val="002368D5"/>
    <w:rsid w:val="00262D03"/>
    <w:rsid w:val="002C1471"/>
    <w:rsid w:val="002D0F48"/>
    <w:rsid w:val="002D1F63"/>
    <w:rsid w:val="002D79BA"/>
    <w:rsid w:val="002E17EE"/>
    <w:rsid w:val="00307E5C"/>
    <w:rsid w:val="00314C77"/>
    <w:rsid w:val="00346ED8"/>
    <w:rsid w:val="003A2828"/>
    <w:rsid w:val="003D7F02"/>
    <w:rsid w:val="003E6F9D"/>
    <w:rsid w:val="00443862"/>
    <w:rsid w:val="004D2AC9"/>
    <w:rsid w:val="004E4DF8"/>
    <w:rsid w:val="0051306A"/>
    <w:rsid w:val="005206B8"/>
    <w:rsid w:val="00522262"/>
    <w:rsid w:val="005244DA"/>
    <w:rsid w:val="005475DD"/>
    <w:rsid w:val="00555A22"/>
    <w:rsid w:val="005A7473"/>
    <w:rsid w:val="00641E1A"/>
    <w:rsid w:val="006461DA"/>
    <w:rsid w:val="00657FFC"/>
    <w:rsid w:val="00664247"/>
    <w:rsid w:val="00672BF3"/>
    <w:rsid w:val="0069233C"/>
    <w:rsid w:val="0069724A"/>
    <w:rsid w:val="006E14EF"/>
    <w:rsid w:val="00724BCE"/>
    <w:rsid w:val="00770169"/>
    <w:rsid w:val="00772CAF"/>
    <w:rsid w:val="00836F70"/>
    <w:rsid w:val="00842D58"/>
    <w:rsid w:val="008A7707"/>
    <w:rsid w:val="008B69A6"/>
    <w:rsid w:val="008E5E6B"/>
    <w:rsid w:val="00977EEF"/>
    <w:rsid w:val="00A316C6"/>
    <w:rsid w:val="00A351C0"/>
    <w:rsid w:val="00A80043"/>
    <w:rsid w:val="00BC0AD8"/>
    <w:rsid w:val="00BE1251"/>
    <w:rsid w:val="00BF705F"/>
    <w:rsid w:val="00C669B5"/>
    <w:rsid w:val="00C75922"/>
    <w:rsid w:val="00CD5A2E"/>
    <w:rsid w:val="00D15E50"/>
    <w:rsid w:val="00D53634"/>
    <w:rsid w:val="00D67596"/>
    <w:rsid w:val="00DC7FAE"/>
    <w:rsid w:val="00E00C03"/>
    <w:rsid w:val="00E3735C"/>
    <w:rsid w:val="00E5095D"/>
    <w:rsid w:val="00EB278D"/>
    <w:rsid w:val="00EB5501"/>
    <w:rsid w:val="00EF501B"/>
    <w:rsid w:val="00EF5E1C"/>
    <w:rsid w:val="00EF5E71"/>
    <w:rsid w:val="00F005CC"/>
    <w:rsid w:val="00F62B88"/>
    <w:rsid w:val="00F903DF"/>
    <w:rsid w:val="00F9126C"/>
    <w:rsid w:val="00FB0477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2189"/>
  <w15:docId w15:val="{FD1D47B4-CA57-4E27-80A3-FFE8A6F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600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918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91806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600B4B"/>
    <w:pPr>
      <w:widowControl w:val="0"/>
      <w:ind w:left="720"/>
      <w:contextualSpacing/>
    </w:pPr>
    <w:rPr>
      <w:rFonts w:ascii="Calibri" w:hAnsi="Calibri" w:cs="Calibri"/>
      <w:lang w:eastAsia="zh-CN"/>
    </w:rPr>
  </w:style>
  <w:style w:type="paragraph" w:customStyle="1" w:styleId="10">
    <w:name w:val="Стиль10"/>
    <w:basedOn w:val="a"/>
    <w:qFormat/>
    <w:rsid w:val="00600B4B"/>
    <w:pPr>
      <w:keepNext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00B4B"/>
    <w:pPr>
      <w:keepNext/>
      <w:spacing w:before="120"/>
      <w:jc w:val="center"/>
      <w:outlineLvl w:val="0"/>
    </w:pPr>
    <w:rPr>
      <w:rFonts w:eastAsia="Calibri"/>
      <w:b/>
      <w:i/>
      <w:iCs/>
    </w:rPr>
  </w:style>
  <w:style w:type="paragraph" w:customStyle="1" w:styleId="12">
    <w:name w:val="Стиль12"/>
    <w:basedOn w:val="a"/>
    <w:qFormat/>
    <w:rsid w:val="00600B4B"/>
    <w:pPr>
      <w:keepNext/>
      <w:keepLines/>
      <w:spacing w:before="120" w:after="120"/>
      <w:jc w:val="center"/>
    </w:pPr>
    <w:rPr>
      <w:rFonts w:eastAsia="Calibri"/>
      <w:sz w:val="20"/>
      <w:szCs w:val="20"/>
    </w:rPr>
  </w:style>
  <w:style w:type="paragraph" w:customStyle="1" w:styleId="13">
    <w:name w:val="Стиль13"/>
    <w:basedOn w:val="a"/>
    <w:qFormat/>
    <w:rsid w:val="00600B4B"/>
    <w:pPr>
      <w:keepNext/>
      <w:spacing w:before="240" w:after="120"/>
      <w:jc w:val="center"/>
    </w:pPr>
    <w:rPr>
      <w:rFonts w:eastAsia="Calibri"/>
      <w:b/>
    </w:rPr>
  </w:style>
  <w:style w:type="paragraph" w:customStyle="1" w:styleId="14">
    <w:name w:val="Стиль14"/>
    <w:basedOn w:val="a"/>
    <w:qFormat/>
    <w:rsid w:val="00600B4B"/>
    <w:pPr>
      <w:keepNext/>
      <w:spacing w:before="600"/>
      <w:ind w:firstLine="709"/>
      <w:jc w:val="both"/>
    </w:pPr>
    <w:rPr>
      <w:rFonts w:eastAsia="Calibri"/>
    </w:rPr>
  </w:style>
  <w:style w:type="paragraph" w:customStyle="1" w:styleId="15">
    <w:name w:val="Стиль15"/>
    <w:basedOn w:val="a"/>
    <w:qFormat/>
    <w:rsid w:val="00600B4B"/>
    <w:pPr>
      <w:keepNext/>
      <w:spacing w:before="360"/>
      <w:jc w:val="center"/>
    </w:pPr>
    <w:rPr>
      <w:lang w:val="en-US"/>
    </w:rPr>
  </w:style>
  <w:style w:type="paragraph" w:customStyle="1" w:styleId="16">
    <w:name w:val="Стиль16"/>
    <w:basedOn w:val="a"/>
    <w:qFormat/>
    <w:rsid w:val="00600B4B"/>
    <w:pPr>
      <w:keepLines/>
      <w:spacing w:before="120" w:after="240"/>
      <w:jc w:val="center"/>
    </w:pPr>
    <w:rPr>
      <w:sz w:val="22"/>
      <w:szCs w:val="22"/>
    </w:rPr>
  </w:style>
  <w:style w:type="paragraph" w:customStyle="1" w:styleId="21">
    <w:name w:val="Стиль21"/>
    <w:basedOn w:val="a4"/>
    <w:qFormat/>
    <w:rsid w:val="00600B4B"/>
    <w:pPr>
      <w:tabs>
        <w:tab w:val="center" w:pos="4253"/>
        <w:tab w:val="right" w:pos="9214"/>
      </w:tabs>
      <w:spacing w:before="60" w:after="60"/>
    </w:pPr>
    <w:rPr>
      <w:sz w:val="24"/>
      <w:szCs w:val="24"/>
      <w:lang w:eastAsia="en-US"/>
    </w:rPr>
  </w:style>
  <w:style w:type="paragraph" w:styleId="a4">
    <w:name w:val="footnote text"/>
    <w:basedOn w:val="a"/>
    <w:link w:val="a3"/>
    <w:uiPriority w:val="99"/>
    <w:semiHidden/>
    <w:unhideWhenUsed/>
    <w:rsid w:val="00600B4B"/>
    <w:rPr>
      <w:sz w:val="20"/>
      <w:szCs w:val="20"/>
    </w:rPr>
  </w:style>
  <w:style w:type="character" w:styleId="ac">
    <w:name w:val="Placeholder Text"/>
    <w:basedOn w:val="a0"/>
    <w:uiPriority w:val="99"/>
    <w:semiHidden/>
    <w:rsid w:val="00035A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Александр Зубанков</cp:lastModifiedBy>
  <cp:revision>11</cp:revision>
  <dcterms:created xsi:type="dcterms:W3CDTF">2025-03-03T16:04:00Z</dcterms:created>
  <dcterms:modified xsi:type="dcterms:W3CDTF">2025-03-09T17:52:00Z</dcterms:modified>
  <dc:language>ru-RU</dc:language>
</cp:coreProperties>
</file>