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4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Статус экспериментальных данных по сечениям излучения  𝛾-квантов в реакциях (n,X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z w:val="24"/>
          <w:szCs w:val="24"/>
          <w:shd w:fill="auto" w:val="clear"/>
          <w:lang w:val="ru-RU"/>
        </w:rPr>
        <w:t>γ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).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aps w:val="false"/>
          <w:smallCaps w:val="false"/>
          <w:color w:val="000000" w:themeColor="text1" w:themeShade="ff" w:themeTint="ff"/>
          <w:sz w:val="24"/>
          <w:szCs w:val="24"/>
          <w:vertAlign w:val="superscript"/>
          <w:lang w:val="ru-RU"/>
        </w:rPr>
      </w:pPr>
      <w:r>
        <w:rPr>
          <w:rStyle w:val="Emphasis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  <w:t>Пампушик Г.В.</w:t>
      </w:r>
      <w:r>
        <w:rPr>
          <w:rStyle w:val="Emphasis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vertAlign w:val="superscript"/>
          <w:lang w:val="ru-RU"/>
        </w:rPr>
        <w:t>1,2</w:t>
      </w:r>
      <w:r>
        <w:rPr>
          <w:rStyle w:val="Emphasis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  <w:t>, Фёдоров Н.А.</w:t>
      </w:r>
      <w:r>
        <w:rPr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4"/>
          <w:szCs w:val="24"/>
          <w:vertAlign w:val="superscript"/>
          <w:lang w:val="ru-RU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  <w:t>, Андреев А.В.</w:t>
      </w:r>
      <w:r>
        <w:rPr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 w:themeColor="text1" w:themeShade="ff" w:themeTint="ff"/>
          <w:sz w:val="24"/>
          <w:szCs w:val="24"/>
          <w:vertAlign w:val="superscript"/>
          <w:lang w:val="ru-RU"/>
        </w:rPr>
        <w:t>1,2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vertAlign w:val="superscript"/>
          <w:lang w:val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  <w:t xml:space="preserve">Московский государственный университет имени М. В. Ломоносова, 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  <w:t>физический факультет, Москва, Россия,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vertAlign w:val="superscript"/>
          <w:lang w:val="ru-RU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  <w:t>Объединенный институт ядерных исследований, лаборатория нейтронной физики имени И.М. Франка, Дубна,Россия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r>
    </w:p>
    <w:p>
      <w:pPr>
        <w:pStyle w:val="Normal"/>
        <w:spacing w:lineRule="auto" w:line="240" w:before="0" w:after="20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</w:pPr>
      <w:r>
        <w:rPr>
          <w:rStyle w:val="Emphasis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E–mail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 xml:space="preserve">: </w:t>
      </w:r>
      <w:hyperlink r:id="rId2">
        <w:r>
          <w:rPr>
            <w:rStyle w:val="InternetLink"/>
            <w:rFonts w:eastAsia="Times New Roman" w:cs="Times New Roman" w:ascii="Times New Roman" w:hAnsi="Times New Roman"/>
            <w:b w:val="false"/>
            <w:bCs w:val="false"/>
            <w:i/>
            <w:iCs/>
            <w:caps w:val="false"/>
            <w:smallCaps w:val="false"/>
            <w:sz w:val="24"/>
            <w:szCs w:val="24"/>
            <w:lang w:val="en-US"/>
          </w:rPr>
          <w:t>pampushik.g@gmail.com</w:t>
        </w:r>
      </w:hyperlink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40" w:beforeAutospacing="0" w:before="220" w:afterAutospacing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Сечения излучения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ru-RU"/>
        </w:rPr>
        <w:t>γ</w:t>
      </w:r>
      <w:r>
        <w:rPr>
          <w:rFonts w:eastAsia="Times New Roman" w:cs="Times New Roman" w:ascii="Times New Roman" w:hAnsi="Times New Roman"/>
        </w:rPr>
        <w:t xml:space="preserve">-квантов в реакциях, вызванных нейтронами, необходимы во многих прикладных областях: проектировании ядерных и термоядерных реакторов, нейтронной терапии, элементном анализе и моделировании различных ядерных установок. Помимо прикладных задач, они представляют ценную информацию для понимания структуры ядер и механизмов нейтрон-ядерных реакций. Таким образом, важно иметь полную и актуальную информацию о текущем состоянии экспериментальных данных по сечениям излучения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ru-RU"/>
        </w:rPr>
        <w:t>γ</w:t>
      </w:r>
      <w:r>
        <w:rPr>
          <w:rFonts w:eastAsia="Times New Roman" w:cs="Times New Roman" w:ascii="Times New Roman" w:hAnsi="Times New Roman"/>
        </w:rPr>
        <w:t>-квантов, показывающую для каких ядер и с какой точностью были измерены сечения.</w:t>
      </w:r>
    </w:p>
    <w:p>
      <w:pPr>
        <w:pStyle w:val="Normal"/>
        <w:bidi w:val="0"/>
        <w:spacing w:lineRule="auto" w:line="240" w:beforeAutospacing="0" w:before="220" w:afterAutospacing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На сегодняшний день основным и наиболее полным источником экспериментальных данных является база данных EXFOR [1](EXchange FORmat). Однако формат EXFOR имеет достаточно сложную структуру и не позволяет полностью автоматизировать цикл поиска и обработки данных с использованием современных высокоуровневых языков программирования. Решению данной проблемы уделяется достаточно большое внимание. Активно ведется работа по конвертации EXFOR файлов в табулированные (C4[2], C5[3], EXFORTABLES[4]) или json (X5json[5]) форматы и их компиляции в соответствующие базы данных. Таким образом, частично устраняется один из недостатков существующих форматов файлов – трудность считывания. В то же время, проблема интерпретации этих данных сохраняется, главным образом, из-за разнообразия способов записи данных одного и того же типа. </w:t>
      </w:r>
    </w:p>
    <w:p>
      <w:pPr>
        <w:pStyle w:val="Normal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ходе работы была собрана статистика по всем реакциям (n,X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ru-RU"/>
        </w:rPr>
        <w:t>γ</w:t>
      </w:r>
      <w:r>
        <w:rPr>
          <w:rFonts w:eastAsia="Times New Roman" w:cs="Times New Roman" w:ascii="Times New Roman" w:hAnsi="Times New Roman"/>
        </w:rPr>
        <w:t xml:space="preserve">) доступным в EXFOR, а также разработана процедура позволяющая автоматически извлекать, обрабатывать и визуализировать данные по сечениям излучения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ru-RU"/>
        </w:rPr>
        <w:t>γ</w:t>
      </w:r>
      <w:r>
        <w:rPr>
          <w:rFonts w:eastAsia="Times New Roman" w:cs="Times New Roman" w:ascii="Times New Roman" w:hAnsi="Times New Roman"/>
        </w:rPr>
        <w:t xml:space="preserve">-квантов (Рис. 1). </w:t>
      </w:r>
    </w:p>
    <w:p>
      <w:pPr>
        <w:pStyle w:val="Normal"/>
        <w:rPr/>
      </w:pPr>
      <w:r>
        <w:rPr/>
        <w:drawing>
          <wp:inline distT="0" distB="0" distL="0" distR="0">
            <wp:extent cx="5401310" cy="368681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  <w:t xml:space="preserve">Рис. 1. Пример извлеченных данных по сечениям излучения </w:t>
      </w:r>
      <w:r>
        <w:rPr/>
        <w:t>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  <w:t xml:space="preserve">-квантов 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vertAlign w:val="superscript"/>
          <w:lang w:val="ru-RU"/>
        </w:rPr>
        <w:t>16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  <w:t>O  в реакции (n,inl) (переход с уровня 6.129 МэВ (3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vertAlign w:val="superscript"/>
          <w:lang w:val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  <w:t>), энергия нейтронов до 30 МэВ)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ru-RU"/>
        </w:rPr>
        <w:t>Литература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N. Otuka, E. Dupont, V. Semkova, et al.  Towards a More Complete and Accurate Experimental Nuclear Reaction Data Library (EXFOR): International Collaboration Between Nuclear Reaction Data Centres (NRDC) // Nuclear Data Sheets Vol.120, 2014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E. Cullen, A. Trkov Program X4TOC4 // report IAEA-NDS-80, 2001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V. Pronyaev EXFOR Library converted to computational format C5 // IAEA-NDS, 2023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A.J. Koning EXFORTABLES-2.0: An experimental nuclear reaction database based on EXFOR // IAEA NDS Document Series IAEA(NDS)-235, 2020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en-US"/>
        </w:rPr>
        <w:t>V. Zerkin X5-json: comprehensive presentation of EXFOR  in JSON format // IAEA-NDS, 2021</w:t>
      </w:r>
    </w:p>
    <w:p>
      <w:pPr>
        <w:pStyle w:val="Normal"/>
        <w:spacing w:lineRule="auto" w:line="240" w:before="0" w:after="0"/>
        <w:ind w:left="720" w:hanging="0"/>
        <w:rPr>
          <w:rFonts w:ascii="Liberation Sans" w:hAnsi="Liberation Sans" w:eastAsia="Liberation Sans" w:cs="Liberatio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pPr>
      <w:r>
        <w:rPr>
          <w:rFonts w:eastAsia="Liberation Sans" w:cs="Liberation Sans" w:ascii="Liberation Sans" w:hAnsi="Liberation Sans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ru-RU"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ru-RU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d045150"/>
    <w:rPr>
      <w:color w:val="467886"/>
      <w:u w:val="single"/>
    </w:rPr>
  </w:style>
  <w:style w:type="character" w:styleId="Emphasis">
    <w:name w:val="Emphasis"/>
    <w:basedOn w:val="DefaultParagraphFont"/>
    <w:uiPriority w:val="20"/>
    <w:qFormat/>
    <w:rsid w:val="0d045150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d04515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mpushik.g@gmail.com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2</Pages>
  <Words>360</Words>
  <Characters>2418</Characters>
  <CharactersWithSpaces>2765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2025-02-28T11:09:35Z</dcterms:created>
  <dc:creator>Григорий Пампушик</dc:creator>
  <dc:description/>
  <dc:language>en-US</dc:language>
  <cp:lastModifiedBy/>
  <dcterms:modified xsi:type="dcterms:W3CDTF">2025-03-03T21:12:49Z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