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pacing w:lineRule="auto" w:line="240" w:before="0" w:after="0"/>
        <w:jc w:val="center"/>
        <w:rPr/>
      </w:pPr>
      <w:r>
        <w:rPr>
          <w:rFonts w:eastAsia="Calibri" w:cs="Times New Roman"/>
          <w:b/>
          <w:sz w:val="24"/>
          <w:szCs w:val="24"/>
          <w:lang w:eastAsia="ru-RU"/>
        </w:rPr>
        <w:t xml:space="preserve">Разработка датчиков для измерения давления приповерхностного слоя плазмы в экспериментах по имитации условий </w:t>
      </w:r>
      <w:r>
        <w:rPr>
          <w:rFonts w:eastAsia="Calibri" w:cs="Times New Roman"/>
          <w:b/>
          <w:sz w:val="24"/>
          <w:szCs w:val="24"/>
          <w:lang w:val="en-US" w:eastAsia="ru-RU"/>
        </w:rPr>
        <w:t>ELM-</w:t>
      </w:r>
      <w:r>
        <w:rPr>
          <w:rFonts w:eastAsia="Calibri" w:cs="Times New Roman"/>
          <w:b/>
          <w:sz w:val="24"/>
          <w:szCs w:val="24"/>
          <w:lang w:val="ru-RU" w:eastAsia="ru-RU"/>
        </w:rPr>
        <w:t>событий и срывов ИТЭР</w:t>
      </w:r>
    </w:p>
    <w:p>
      <w:pPr>
        <w:pStyle w:val="Style19"/>
        <w:spacing w:lineRule="auto" w:line="240" w:before="0" w:after="0"/>
        <w:jc w:val="center"/>
        <w:rPr/>
      </w:pPr>
      <w:r>
        <w:rPr>
          <w:rFonts w:eastAsia="Calibri"/>
          <w:b/>
          <w:i/>
          <w:iCs/>
          <w:u w:val="none"/>
          <w:vertAlign w:val="superscript"/>
        </w:rPr>
        <w:t>1,3</w:t>
      </w:r>
      <w:r>
        <w:rPr>
          <w:rFonts w:eastAsia="Calibri"/>
          <w:b/>
          <w:i/>
          <w:iCs/>
          <w:u w:val="single"/>
        </w:rPr>
        <w:t>Вершинин М.А.</w:t>
      </w:r>
      <w:r>
        <w:rPr>
          <w:rFonts w:eastAsia="Calibri"/>
          <w:b/>
          <w:i/>
          <w:iCs/>
          <w:u w:val="none"/>
        </w:rPr>
        <w:t xml:space="preserve">, </w:t>
      </w:r>
      <w:r>
        <w:rPr>
          <w:rFonts w:eastAsia="Calibri"/>
          <w:b/>
          <w:i/>
          <w:iCs/>
          <w:u w:val="none"/>
          <w:vertAlign w:val="superscript"/>
        </w:rPr>
        <w:t>2,3</w:t>
      </w:r>
      <w:r>
        <w:rPr>
          <w:rFonts w:eastAsia="Calibri"/>
          <w:b/>
          <w:i/>
          <w:iCs/>
          <w:u w:val="none"/>
        </w:rPr>
        <w:t>Бирюлин Е.З.</w:t>
      </w:r>
      <w:r>
        <w:rPr>
          <w:rFonts w:eastAsia="Calibri"/>
          <w:b/>
          <w:i/>
          <w:iCs/>
        </w:rPr>
        <w:t xml:space="preserve">, </w:t>
      </w:r>
      <w:r>
        <w:rPr>
          <w:rFonts w:eastAsia="Calibri"/>
          <w:b/>
          <w:i/>
          <w:iCs/>
          <w:u w:val="none"/>
          <w:vertAlign w:val="superscript"/>
        </w:rPr>
        <w:t>2,3</w:t>
      </w:r>
      <w:r>
        <w:rPr>
          <w:rFonts w:eastAsia="Calibri"/>
          <w:b/>
          <w:i/>
          <w:iCs/>
        </w:rPr>
        <w:t xml:space="preserve">Цыбенко В.Ю., </w:t>
      </w:r>
      <w:r>
        <w:rPr>
          <w:rFonts w:eastAsia="Calibri"/>
          <w:b/>
          <w:i/>
          <w:iCs/>
          <w:u w:val="none"/>
          <w:vertAlign w:val="superscript"/>
        </w:rPr>
        <w:t>2,3</w:t>
      </w:r>
      <w:r>
        <w:rPr>
          <w:rFonts w:eastAsia="Calibri"/>
          <w:b/>
          <w:i/>
          <w:iCs/>
        </w:rPr>
        <w:t xml:space="preserve">Позняк И.М., </w:t>
      </w:r>
      <w:r>
        <w:rPr>
          <w:rFonts w:eastAsia="Calibri"/>
          <w:b/>
          <w:i/>
          <w:iCs/>
          <w:u w:val="none"/>
          <w:vertAlign w:val="superscript"/>
        </w:rPr>
        <w:t>2,3</w:t>
      </w:r>
      <w:r>
        <w:rPr>
          <w:rFonts w:eastAsia="Calibri"/>
          <w:b/>
          <w:i/>
          <w:iCs/>
        </w:rPr>
        <w:t xml:space="preserve">Алябьев И.А., </w:t>
      </w:r>
    </w:p>
    <w:p>
      <w:pPr>
        <w:pStyle w:val="Style19"/>
        <w:spacing w:lineRule="auto" w:line="240" w:before="0" w:after="0"/>
        <w:jc w:val="center"/>
        <w:rPr/>
      </w:pPr>
      <w:r>
        <w:rPr>
          <w:rFonts w:eastAsia="Calibri" w:cs="Times New Roman"/>
          <w:b/>
          <w:i/>
          <w:iCs/>
          <w:sz w:val="24"/>
          <w:szCs w:val="24"/>
          <w:u w:val="none"/>
          <w:vertAlign w:val="superscript"/>
          <w:lang w:eastAsia="ru-RU"/>
        </w:rPr>
        <w:t>2,3</w:t>
      </w:r>
      <w:r>
        <w:rPr>
          <w:rFonts w:eastAsia="Calibri" w:cs="Times New Roman"/>
          <w:b/>
          <w:i/>
          <w:iCs/>
          <w:sz w:val="24"/>
          <w:szCs w:val="24"/>
          <w:lang w:eastAsia="ru-RU"/>
        </w:rPr>
        <w:t>Фомичева С.Ю</w:t>
      </w:r>
      <w:r>
        <w:rPr>
          <w:rFonts w:eastAsia="Calibri"/>
          <w:b/>
          <w:i/>
          <w:iCs/>
        </w:rPr>
        <w:t xml:space="preserve">., </w:t>
      </w:r>
      <w:r>
        <w:rPr>
          <w:rFonts w:eastAsia="Calibri"/>
          <w:b/>
          <w:i/>
          <w:iCs/>
          <w:u w:val="none"/>
          <w:vertAlign w:val="superscript"/>
        </w:rPr>
        <w:t>2,3</w:t>
      </w:r>
      <w:r>
        <w:rPr>
          <w:rFonts w:eastAsia="Calibri" w:cs="Times New Roman"/>
          <w:b/>
          <w:i/>
          <w:iCs/>
          <w:sz w:val="24"/>
          <w:szCs w:val="24"/>
          <w:lang w:eastAsia="ru-RU"/>
        </w:rPr>
        <w:t>Лущиков А.Ю</w:t>
      </w:r>
      <w:r>
        <w:rPr>
          <w:rFonts w:eastAsia="Calibri"/>
          <w:b/>
          <w:i/>
          <w:iCs/>
        </w:rPr>
        <w:t xml:space="preserve">., </w:t>
      </w:r>
      <w:r>
        <w:rPr>
          <w:rFonts w:eastAsia="Calibri" w:cs="Times New Roman"/>
          <w:b/>
          <w:i/>
          <w:iCs/>
          <w:color w:val="auto"/>
          <w:kern w:val="0"/>
          <w:sz w:val="24"/>
          <w:szCs w:val="24"/>
          <w:u w:val="none"/>
          <w:vertAlign w:val="superscript"/>
          <w:lang w:val="ru-RU" w:eastAsia="ru-RU" w:bidi="ar-SA"/>
        </w:rPr>
        <w:t>1</w:t>
      </w:r>
      <w:r>
        <w:rPr>
          <w:rFonts w:eastAsia="Calibri"/>
          <w:b/>
          <w:i/>
          <w:iCs/>
          <w:u w:val="none"/>
          <w:vertAlign w:val="superscript"/>
        </w:rPr>
        <w:t>,3</w:t>
      </w:r>
      <w:r>
        <w:rPr>
          <w:rFonts w:eastAsia="Calibri"/>
          <w:b/>
          <w:i/>
          <w:iCs/>
        </w:rPr>
        <w:t xml:space="preserve">Швецов Г.Ю., </w:t>
      </w:r>
      <w:r>
        <w:rPr>
          <w:rFonts w:eastAsia="Calibri" w:cs="Times New Roman"/>
          <w:b/>
          <w:i/>
          <w:iCs/>
          <w:color w:val="auto"/>
          <w:kern w:val="0"/>
          <w:sz w:val="24"/>
          <w:szCs w:val="24"/>
          <w:u w:val="none"/>
          <w:vertAlign w:val="superscript"/>
          <w:lang w:val="ru-RU" w:eastAsia="ru-RU" w:bidi="ar-SA"/>
        </w:rPr>
        <w:t>1</w:t>
      </w:r>
      <w:r>
        <w:rPr>
          <w:rFonts w:eastAsia="Calibri"/>
          <w:b/>
          <w:i/>
          <w:iCs/>
          <w:u w:val="none"/>
          <w:vertAlign w:val="superscript"/>
        </w:rPr>
        <w:t>,</w:t>
      </w:r>
      <w:r>
        <w:rPr>
          <w:rFonts w:eastAsia="Calibri"/>
          <w:b/>
          <w:i/>
          <w:iCs/>
          <w:u w:val="none"/>
          <w:vertAlign w:val="superscript"/>
        </w:rPr>
        <w:t>3</w:t>
      </w:r>
      <w:r>
        <w:rPr>
          <w:rFonts w:eastAsia="Calibri"/>
          <w:b/>
          <w:i/>
          <w:iCs/>
        </w:rPr>
        <w:t>Цыбыкалов Р.В.</w:t>
      </w:r>
    </w:p>
    <w:p>
      <w:pPr>
        <w:pStyle w:val="Style19"/>
        <w:spacing w:lineRule="auto" w:line="240" w:before="0" w:after="0"/>
        <w:jc w:val="center"/>
        <w:rPr/>
      </w:pPr>
      <w:r>
        <w:rPr>
          <w:rFonts w:eastAsia="Calibri"/>
          <w:bCs/>
          <w:i/>
          <w:iCs/>
        </w:rPr>
        <w:t>Студент-</w:t>
      </w:r>
      <w:r>
        <w:rPr>
          <w:rFonts w:eastAsia="Calibri" w:cs="Times New Roman"/>
          <w:bCs/>
          <w:i/>
          <w:iCs/>
          <w:sz w:val="24"/>
          <w:szCs w:val="24"/>
          <w:lang w:eastAsia="ru-RU"/>
        </w:rPr>
        <w:t>бакалавр</w:t>
      </w:r>
      <w:r>
        <w:rPr>
          <w:rFonts w:eastAsia="Calibri"/>
          <w:bCs/>
          <w:i/>
          <w:iCs/>
        </w:rPr>
        <w:t xml:space="preserve">, </w:t>
      </w:r>
      <w:r>
        <w:rPr>
          <w:rFonts w:eastAsia="Calibri" w:cs="Times New Roman"/>
          <w:bCs/>
          <w:i/>
          <w:iCs/>
          <w:sz w:val="24"/>
          <w:szCs w:val="24"/>
          <w:lang w:eastAsia="ru-RU"/>
        </w:rPr>
        <w:t>стажёр</w:t>
      </w:r>
    </w:p>
    <w:p>
      <w:pPr>
        <w:pStyle w:val="Style19"/>
        <w:spacing w:lineRule="auto" w:line="240" w:before="0" w:after="0"/>
        <w:jc w:val="center"/>
        <w:rPr/>
      </w:pPr>
      <w:r>
        <w:rPr>
          <w:rFonts w:eastAsia="Calibri" w:cs="Times New Roman"/>
          <w:bCs/>
          <w:i/>
          <w:iCs/>
          <w:sz w:val="24"/>
          <w:szCs w:val="24"/>
          <w:vertAlign w:val="superscript"/>
          <w:lang w:eastAsia="ru-RU"/>
        </w:rPr>
        <w:t>1</w:t>
      </w:r>
      <w:r>
        <w:rPr>
          <w:rFonts w:eastAsia="Calibri" w:cs="Times New Roman"/>
          <w:bCs/>
          <w:i/>
          <w:iCs/>
          <w:sz w:val="24"/>
          <w:szCs w:val="24"/>
          <w:lang w:eastAsia="ru-RU"/>
        </w:rPr>
        <w:t>НИУ МЭИ</w:t>
      </w:r>
      <w:r>
        <w:rPr>
          <w:rFonts w:eastAsia="Calibri"/>
          <w:bCs/>
          <w:i/>
          <w:iCs/>
        </w:rPr>
        <w:t>, ИТАЭ, Москва, Россия</w:t>
      </w:r>
    </w:p>
    <w:p>
      <w:pPr>
        <w:pStyle w:val="Style19"/>
        <w:spacing w:lineRule="auto" w:line="240" w:before="0" w:after="0"/>
        <w:jc w:val="center"/>
        <w:rPr/>
      </w:pPr>
      <w:r>
        <w:rPr>
          <w:rFonts w:eastAsia="Calibri"/>
          <w:bCs/>
          <w:i/>
          <w:iCs/>
          <w:vertAlign w:val="superscript"/>
        </w:rPr>
        <w:t>2</w:t>
      </w:r>
      <w:r>
        <w:rPr>
          <w:rFonts w:eastAsia="Calibri"/>
          <w:bCs/>
          <w:i/>
          <w:iCs/>
        </w:rPr>
        <w:t>МФТИ, Физтех, Долгопрудный, Россия</w:t>
      </w:r>
    </w:p>
    <w:p>
      <w:pPr>
        <w:pStyle w:val="Style19"/>
        <w:spacing w:lineRule="auto" w:line="240" w:before="0" w:after="0"/>
        <w:jc w:val="center"/>
        <w:rPr/>
      </w:pPr>
      <w:r>
        <w:rPr>
          <w:rFonts w:eastAsia="Calibri"/>
          <w:bCs/>
          <w:i/>
          <w:iCs/>
          <w:vertAlign w:val="superscript"/>
        </w:rPr>
        <w:t>3</w:t>
      </w:r>
      <w:r>
        <w:rPr>
          <w:rFonts w:eastAsia="Calibri"/>
          <w:bCs/>
          <w:i/>
          <w:iCs/>
        </w:rPr>
        <w:t>АО «ГНЦ РФ ТРИНИТИ», Москва, Троицк, Россия</w:t>
      </w:r>
    </w:p>
    <w:p>
      <w:pPr>
        <w:pStyle w:val="Style19"/>
        <w:spacing w:lineRule="auto" w:line="240" w:before="0" w:after="0"/>
        <w:jc w:val="center"/>
        <w:rPr/>
      </w:pPr>
      <w:r>
        <w:rPr>
          <w:rFonts w:eastAsia="Calibri"/>
          <w:bCs/>
          <w:i/>
          <w:iCs/>
          <w:lang w:val="en-US"/>
        </w:rPr>
        <w:t xml:space="preserve">E-mail: </w:t>
      </w:r>
      <w:r>
        <w:rPr>
          <w:rFonts w:eastAsia="Calibri" w:cs="Times New Roman"/>
          <w:bCs/>
          <w:i/>
          <w:iCs/>
          <w:sz w:val="24"/>
          <w:szCs w:val="24"/>
          <w:lang w:val="en-US" w:eastAsia="ru-RU"/>
        </w:rPr>
        <w:t>VershininMA@mpei.ru</w:t>
      </w:r>
    </w:p>
    <w:p>
      <w:pPr>
        <w:pStyle w:val="Style19"/>
        <w:spacing w:lineRule="auto" w:line="240" w:before="0" w:after="0"/>
        <w:ind w:left="0" w:right="0" w:firstLine="397"/>
        <w:jc w:val="both"/>
        <w:rPr/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Во время работы ИТЭР ожидается интенсивное плазменно-тепловое воздействие на защитные покрытия первой стенки реактора. Во время переходных процессов (срывов тока, </w:t>
      </w:r>
      <w:r>
        <w:rPr>
          <w:rFonts w:eastAsia="Times New Roman" w:cs="Times New Roman"/>
          <w:sz w:val="24"/>
          <w:szCs w:val="24"/>
          <w:lang w:val="en-US" w:eastAsia="ru-RU"/>
        </w:rPr>
        <w:t>ELM-</w:t>
      </w:r>
      <w:r>
        <w:rPr>
          <w:rFonts w:eastAsia="Times New Roman" w:cs="Times New Roman"/>
          <w:sz w:val="24"/>
          <w:szCs w:val="24"/>
          <w:lang w:val="ru-RU" w:eastAsia="ru-RU"/>
        </w:rPr>
        <w:t>ов) тепловой поток на поверхность может значительно превышать пороги плавления материалов, что приведёт к их интенсивной эрозии. Эрозия защитных покрытий определяет ресурс реактора и режим горения плазменного шнура, и, следовательно, требует тщательного изучения</w:t>
      </w:r>
      <w:r>
        <w:rPr/>
        <w:t>.</w:t>
      </w:r>
    </w:p>
    <w:p>
      <w:pPr>
        <w:pStyle w:val="Style19"/>
        <w:spacing w:lineRule="auto" w:line="240" w:before="0" w:after="0"/>
        <w:ind w:left="0" w:righ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 на одном из действующих токамаков не удаётся воспроизвести условия, ожидаемые во время переходных процессов в ИТЭР. Поэтому эксперименты по исследованию эрозии защитных покрытий проводятся, например, на плазменных ускорителях [1][3]. В этих экспериментах проводится облучение мишеней из исследуемых материалов мощными потоками плазмы. Для правильной экстраполяции результатов экспериментов на условия ИТЭР требуется развитие численных и теоретических моделей взаимодействия плазмы с мишенью, а также исследование параметров налетающего на мишень потока плазмы и измерение параметров слоя плазмы вблизи поверхности исследуемого материала. Одним из важных параметров воздействия является давление плазмы на поверхность мишени. Его можно измерить с помощью датчиков динамического давления. </w:t>
      </w:r>
    </w:p>
    <w:p>
      <w:pPr>
        <w:pStyle w:val="Normal"/>
        <w:spacing w:lineRule="auto" w:line="240"/>
        <w:ind w:left="0" w:righ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экспериментах на плазменных ускорителях датчики давления оказываются подвержены интенсивным механическим, тепловым и электромагнитным воздействиям. Поэтому датчики должны удовлетворять ряду требований. Во-первых, они должны быть устойчивыми к вибрациям, возникающим при взаимодействии высокоскоростного потока плазмы с мишенью. Во-вторых, датчики должны быть защищены от тока, проходящего через плазму и мишень, а также экранированы от электромагнитных наводок. В-третьих, датчики должны быть устойчивыми к тепловому воздействию со стороны плазмы. Готовых решений, удовлетворяющих этим условиям, на рынке нет. </w:t>
      </w:r>
    </w:p>
    <w:p>
      <w:pPr>
        <w:pStyle w:val="Normal"/>
        <w:spacing w:lineRule="auto" w:line="240"/>
        <w:ind w:left="0" w:righ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данной работе описываются датчики давления, применимые в экспериментах на плазменных ускорителях. Представлен возможный вариант конструкции датчиков, предложены методы их защиты. Предложен метод обработки результатов измерений датчиков. Разработанные датчики планируется испытать на импульсной плазменной установке МКТ (ТРИНИТИ), а затем использовать для измерения распределения давления плазмы в экспериментах на квазистационарном плазменном ускорителе КСПУ (ТРИНИТИ). </w:t>
      </w:r>
    </w:p>
    <w:p>
      <w:pPr>
        <w:pStyle w:val="Normal"/>
        <w:spacing w:lineRule="auto" w:line="240"/>
        <w:ind w:left="0" w:right="0" w:firstLine="397"/>
        <w:jc w:val="center"/>
        <w:rPr>
          <w:b/>
          <w:b/>
          <w:bCs/>
        </w:rPr>
      </w:pPr>
      <w:r>
        <w:rPr>
          <w:b/>
          <w:bCs/>
        </w:rPr>
        <w:t>Список литературы</w:t>
      </w:r>
    </w:p>
    <w:p>
      <w:pPr>
        <w:pStyle w:val="Normal"/>
        <w:shd w:fill="FFFFFF" w:val="clear"/>
        <w:spacing w:lineRule="auto" w:line="240"/>
        <w:ind w:left="0" w:right="0" w:firstLine="397"/>
        <w:jc w:val="both"/>
        <w:rPr/>
      </w:pPr>
      <w:r>
        <w:rPr/>
        <w:t xml:space="preserve">1. </w:t>
      </w:r>
      <w:r>
        <w:rPr>
          <w:rFonts w:eastAsia="Times New Roman" w:cs="Times New Roman"/>
          <w:i w:val="false"/>
          <w:iCs w:val="false"/>
          <w:sz w:val="24"/>
          <w:szCs w:val="24"/>
          <w:lang w:eastAsia="ru-RU"/>
        </w:rPr>
        <w:t>И.М. Позняк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Эрозия металлов при воздействии интенсивных потоков плазмы // ВАНТ Сер. Термоядерный синтез. 2012. Т. 35. №4. С. 23-33. </w:t>
      </w:r>
    </w:p>
    <w:p>
      <w:pPr>
        <w:pStyle w:val="Normal"/>
        <w:shd w:fill="FFFFFF" w:val="clear"/>
        <w:spacing w:lineRule="auto" w:line="240"/>
        <w:ind w:left="0" w:right="0" w:firstLine="397"/>
        <w:jc w:val="both"/>
        <w:rPr/>
      </w:pPr>
      <w:r>
        <w:rPr>
          <w:sz w:val="24"/>
          <w:szCs w:val="24"/>
        </w:rPr>
        <w:t xml:space="preserve">2. </w:t>
      </w:r>
      <w:r>
        <w:rPr>
          <w:rFonts w:eastAsia="Times New Roman" w:cs="Times New Roman"/>
          <w:i w:val="false"/>
          <w:iCs w:val="false"/>
          <w:sz w:val="24"/>
          <w:szCs w:val="24"/>
          <w:lang w:eastAsia="ru-RU"/>
        </w:rPr>
        <w:t>И.М. Позняк</w:t>
      </w:r>
      <w:r>
        <w:rPr>
          <w:sz w:val="24"/>
          <w:szCs w:val="24"/>
          <w:lang w:val="en-US"/>
        </w:rPr>
        <w:t xml:space="preserve"> Поведение вольфрама с покрытием из карбида бора при воздействии интенсивных плазменных потоков // ВАНТ Сер. Термоядерный синтез. 2024. Т. 47. №1.</w:t>
      </w:r>
    </w:p>
    <w:p>
      <w:pPr>
        <w:pStyle w:val="Normal"/>
        <w:shd w:fill="FFFFFF" w:val="clear"/>
        <w:spacing w:lineRule="auto" w:line="240"/>
        <w:ind w:left="0" w:right="0" w:firstLine="397"/>
        <w:jc w:val="both"/>
        <w:rPr/>
      </w:pPr>
      <w:r>
        <w:rPr>
          <w:sz w:val="24"/>
          <w:szCs w:val="24"/>
        </w:rPr>
        <w:t xml:space="preserve">3. </w:t>
      </w:r>
      <w:r>
        <w:rPr>
          <w:i w:val="false"/>
          <w:iCs w:val="false"/>
          <w:sz w:val="24"/>
          <w:szCs w:val="24"/>
        </w:rPr>
        <w:t>Н.С. Климов</w:t>
      </w:r>
      <w:r>
        <w:rPr>
          <w:sz w:val="24"/>
          <w:szCs w:val="24"/>
        </w:rPr>
        <w:t xml:space="preserve"> Разбрызгивание вольфрама при воздействии интенсивного потока плазмы // ВАНТ Сер. Термоядерный синтез. </w:t>
      </w:r>
      <w:r>
        <w:rPr>
          <w:sz w:val="24"/>
          <w:szCs w:val="24"/>
          <w:lang w:val="en-US"/>
        </w:rPr>
        <w:t>2009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32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 xml:space="preserve"> №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  <w:lang w:val="en-US"/>
        </w:rPr>
        <w:t>.52-61.</w:t>
      </w:r>
    </w:p>
    <w:p>
      <w:pPr>
        <w:pStyle w:val="Normal"/>
        <w:shd w:fill="FFFFFF" w:val="clear"/>
        <w:spacing w:lineRule="auto" w:line="240"/>
        <w:ind w:left="0" w:right="0" w:firstLine="397"/>
        <w:jc w:val="both"/>
        <w:rPr/>
      </w:pPr>
      <w:r>
        <w:rPr/>
        <w:t xml:space="preserve">4. </w:t>
      </w:r>
      <w:r>
        <w:rPr>
          <w:i w:val="false"/>
          <w:iCs w:val="false"/>
          <w:sz w:val="24"/>
          <w:szCs w:val="24"/>
        </w:rPr>
        <w:t>Д.А. Лиджигоряев</w:t>
      </w:r>
      <w:r>
        <w:rPr>
          <w:sz w:val="24"/>
          <w:szCs w:val="24"/>
        </w:rPr>
        <w:t xml:space="preserve"> Исследование теплового воздействия мощных потоков водородной плазмы на поверхность вольфрамовой мишени с помощью инфракрасной пирометрии // ВАНТ Сер. Термоядерный синтез. 2024. Т. 47. №2.</w:t>
      </w:r>
    </w:p>
    <w:p>
      <w:pPr>
        <w:pStyle w:val="Normal"/>
        <w:shd w:fill="FFFFFF" w:val="clear"/>
        <w:spacing w:lineRule="auto" w:line="240"/>
        <w:ind w:left="0" w:right="0" w:firstLine="397"/>
        <w:jc w:val="both"/>
        <w:rPr/>
      </w:pPr>
      <w:r>
        <w:rPr>
          <w:lang w:val="en-US"/>
        </w:rPr>
        <w:t xml:space="preserve">5. </w:t>
      </w:r>
      <w:r>
        <w:rPr>
          <w:i w:val="false"/>
          <w:iCs w:val="false"/>
          <w:sz w:val="24"/>
          <w:szCs w:val="24"/>
          <w:lang w:val="en-US"/>
        </w:rPr>
        <w:t>C. Underwood</w:t>
      </w:r>
      <w:r>
        <w:rPr>
          <w:sz w:val="24"/>
          <w:szCs w:val="24"/>
          <w:lang w:val="en-US"/>
        </w:rPr>
        <w:t xml:space="preserve"> Effects of Flow Collisionality on ELM Replication in Plasma Guns // Fusion Engineering and Design. 2019. Т. 144. С. 97-106.</w:t>
      </w:r>
    </w:p>
    <w:p>
      <w:pPr>
        <w:pStyle w:val="Normal"/>
        <w:shd w:fill="FFFFFF" w:val="clear"/>
        <w:spacing w:lineRule="auto" w:line="240"/>
        <w:ind w:left="0" w:right="0" w:firstLine="397"/>
        <w:jc w:val="both"/>
        <w:rPr/>
      </w:pPr>
      <w:r>
        <w:rPr>
          <w:sz w:val="24"/>
          <w:szCs w:val="24"/>
          <w:lang w:val="ru-RU"/>
        </w:rPr>
        <w:t>6</w:t>
      </w:r>
      <w:r>
        <w:rPr>
          <w:sz w:val="24"/>
          <w:szCs w:val="24"/>
          <w:lang w:val="en-US"/>
        </w:rPr>
        <w:t>. D.S. Bynum Wind Tunnel Pressure Measuring Techniques // AGARDograph No.145. 1970.</w:t>
      </w:r>
    </w:p>
    <w:sectPr>
      <w:footerReference w:type="default" r:id="rId2"/>
      <w:type w:val="nextPage"/>
      <w:pgSz w:w="11906" w:h="16838"/>
      <w:pgMar w:left="1361" w:right="1361" w:gutter="0" w:header="0" w:top="1134" w:footer="1259" w:bottom="18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202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Style15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7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;Arial" w:hAnsi="Liberation Sans;Arial" w:eastAsia="Microsoft YaHei" w:cs="Arial Unicode MS"/>
      <w:sz w:val="28"/>
      <w:szCs w:val="28"/>
    </w:rPr>
  </w:style>
  <w:style w:type="paragraph" w:styleId="Style19">
    <w:name w:val="Body Text"/>
    <w:basedOn w:val="Normal"/>
    <w:pPr>
      <w:spacing w:before="0" w:after="120"/>
    </w:pPr>
    <w:rPr/>
  </w:style>
  <w:style w:type="paragraph" w:styleId="Style20">
    <w:name w:val="List"/>
    <w:basedOn w:val="Style19"/>
    <w:pPr/>
    <w:rPr>
      <w:rFonts w:cs="Arial Unicode M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aption">
    <w:name w:val="caption"/>
    <w:basedOn w:val="Normal"/>
    <w:next w:val="Normal"/>
    <w:qFormat/>
    <w:pPr>
      <w:spacing w:before="0" w:after="200"/>
    </w:pPr>
    <w:rPr>
      <w:iCs/>
      <w:sz w:val="22"/>
      <w:szCs w:val="18"/>
    </w:rPr>
  </w:style>
  <w:style w:type="paragraph" w:styleId="10">
    <w:name w:val="Стиль10"/>
    <w:basedOn w:val="Normal"/>
    <w:qFormat/>
    <w:pPr>
      <w:keepNext w:val="true"/>
      <w:suppressAutoHyphens w:val="true"/>
      <w:spacing w:before="120" w:after="120"/>
      <w:jc w:val="center"/>
      <w:outlineLvl w:val="1"/>
    </w:pPr>
    <w:rPr>
      <w:rFonts w:eastAsia="Calibri"/>
      <w:b/>
      <w:sz w:val="28"/>
      <w:szCs w:val="28"/>
    </w:rPr>
  </w:style>
  <w:style w:type="paragraph" w:styleId="11">
    <w:name w:val="Стиль11"/>
    <w:basedOn w:val="Normal"/>
    <w:qFormat/>
    <w:pPr>
      <w:keepNext w:val="true"/>
      <w:suppressAutoHyphens w:val="true"/>
      <w:spacing w:before="120" w:after="0"/>
      <w:jc w:val="center"/>
      <w:outlineLvl w:val="0"/>
    </w:pPr>
    <w:rPr>
      <w:rFonts w:eastAsia="Calibri"/>
      <w:b/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25">
    <w:name w:val="Body Text Indent"/>
    <w:basedOn w:val="Normal"/>
    <w:pPr>
      <w:spacing w:before="0" w:after="120"/>
      <w:ind w:left="283" w:right="0" w:hanging="0"/>
    </w:pPr>
    <w:rPr/>
  </w:style>
  <w:style w:type="paragraph" w:styleId="Style26">
    <w:name w:val="Содержимое врезки"/>
    <w:basedOn w:val="Normal"/>
    <w:qFormat/>
    <w:pPr/>
    <w:rPr/>
  </w:style>
  <w:style w:type="paragraph" w:styleId="Style27">
    <w:name w:val="Header"/>
    <w:basedOn w:val="Style23"/>
    <w:pPr>
      <w:suppressLineNumbers/>
      <w:tabs>
        <w:tab w:val="clear" w:pos="708"/>
        <w:tab w:val="center" w:pos="4592" w:leader="none"/>
        <w:tab w:val="right" w:pos="918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Application>LibreOffice/7.2.0.4$Windows_X86_64 LibreOffice_project/9a9c6381e3f7a62afc1329bd359cc48accb6435b</Application>
  <AppVersion>15.0000</AppVersion>
  <Pages>2</Pages>
  <Words>460</Words>
  <Characters>3190</Characters>
  <CharactersWithSpaces>3636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2023-10-02T10:45:00Z</dcterms:created>
  <dc:creator>Администратор ПК</dc:creator>
  <dc:description/>
  <dc:language>ru-RU</dc:language>
  <cp:lastModifiedBy/>
  <cp:lastPrinted>2023-10-17T07:39:00Z</cp:lastPrinted>
  <dcterms:modified xsi:type="dcterms:W3CDTF">2025-03-02T18:52:05Z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